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2A60BA" w:rsidTr="002A60BA">
        <w:tc>
          <w:tcPr>
            <w:tcW w:w="4076" w:type="dxa"/>
          </w:tcPr>
          <w:p w:rsidR="002A60BA" w:rsidRDefault="002A60BA" w:rsidP="002A60BA">
            <w:pPr>
              <w:pStyle w:val="ConsPlusNormal"/>
              <w:jc w:val="right"/>
            </w:pPr>
            <w:r>
              <w:t xml:space="preserve">Приложение </w:t>
            </w:r>
            <w:r w:rsidR="00F34C83">
              <w:t>4</w:t>
            </w:r>
          </w:p>
          <w:p w:rsidR="002A60BA" w:rsidRDefault="002A60BA" w:rsidP="002A60BA">
            <w:pPr>
              <w:pStyle w:val="ConsPlusNormal"/>
            </w:pPr>
            <w:r>
              <w:t>УТВЕРЖДЕНО</w:t>
            </w:r>
          </w:p>
          <w:p w:rsidR="002A60BA" w:rsidRDefault="002A60BA" w:rsidP="002A60BA">
            <w:pPr>
              <w:pStyle w:val="ConsPlusNormal"/>
            </w:pPr>
            <w:r>
              <w:rPr>
                <w:rFonts w:hint="eastAsia"/>
              </w:rPr>
              <w:t>П</w:t>
            </w:r>
            <w:r>
              <w:t>риказом директора БУ СО ВО «КЦСОН Шекснинского района»</w:t>
            </w:r>
          </w:p>
          <w:p w:rsidR="002A60BA" w:rsidRDefault="002A60BA" w:rsidP="002A60BA">
            <w:pPr>
              <w:pStyle w:val="ConsPlusNormal"/>
            </w:pPr>
            <w:r>
              <w:t>от «</w:t>
            </w:r>
            <w:r w:rsidR="00192D7D">
              <w:t>07</w:t>
            </w:r>
            <w:r>
              <w:t xml:space="preserve">» </w:t>
            </w:r>
            <w:r w:rsidR="00192D7D">
              <w:t>декабря</w:t>
            </w:r>
            <w:r>
              <w:t xml:space="preserve"> 2023 г. № </w:t>
            </w:r>
            <w:r w:rsidR="00192D7D">
              <w:t>204</w:t>
            </w:r>
          </w:p>
          <w:p w:rsidR="002A60BA" w:rsidRDefault="002A60BA" w:rsidP="002A60BA">
            <w:pPr>
              <w:pStyle w:val="ConsPlusNormal"/>
            </w:pPr>
          </w:p>
        </w:tc>
      </w:tr>
    </w:tbl>
    <w:p w:rsidR="00FF417B" w:rsidRDefault="00FF417B" w:rsidP="00FF417B">
      <w:pPr>
        <w:pStyle w:val="ConsPlusNormal"/>
        <w:spacing w:before="300"/>
        <w:contextualSpacing/>
        <w:jc w:val="center"/>
        <w:rPr>
          <w:b/>
        </w:rPr>
      </w:pPr>
      <w:r>
        <w:rPr>
          <w:b/>
        </w:rPr>
        <w:t>ПРАВИЛА</w:t>
      </w:r>
    </w:p>
    <w:p w:rsidR="00FF417B" w:rsidRDefault="00FF417B" w:rsidP="00FF417B">
      <w:pPr>
        <w:pStyle w:val="ConsPlusNormal"/>
        <w:spacing w:before="300"/>
        <w:contextualSpacing/>
        <w:jc w:val="center"/>
        <w:rPr>
          <w:b/>
        </w:rPr>
      </w:pPr>
      <w:r>
        <w:rPr>
          <w:b/>
        </w:rPr>
        <w:t>обмена деловыми подарками и знаками делового гостеприимства в Бюджетном учреждении социального обслуживания Вологодской области «Комплексный центр социального обслуживания населения Шекснинского района»</w:t>
      </w:r>
    </w:p>
    <w:p w:rsidR="00FF417B" w:rsidRDefault="00FF417B" w:rsidP="00FF417B">
      <w:pPr>
        <w:pStyle w:val="ConsPlusNormal"/>
        <w:spacing w:before="300"/>
        <w:contextualSpacing/>
        <w:jc w:val="center"/>
        <w:rPr>
          <w:b/>
        </w:rPr>
      </w:pPr>
    </w:p>
    <w:p w:rsidR="00FF417B" w:rsidRDefault="00FF417B" w:rsidP="00FF417B">
      <w:pPr>
        <w:pStyle w:val="ConsPlusNormal"/>
        <w:ind w:firstLine="540"/>
        <w:jc w:val="both"/>
      </w:pPr>
    </w:p>
    <w:p w:rsidR="00FF417B" w:rsidRDefault="00FF417B" w:rsidP="00FF417B">
      <w:pPr>
        <w:pStyle w:val="ConsPlusNormal"/>
        <w:jc w:val="center"/>
        <w:outlineLvl w:val="0"/>
        <w:rPr>
          <w:b/>
        </w:rPr>
      </w:pPr>
      <w:r>
        <w:rPr>
          <w:b/>
        </w:rPr>
        <w:t>1. Общие положения</w:t>
      </w:r>
    </w:p>
    <w:p w:rsidR="00FF417B" w:rsidRDefault="00FF417B" w:rsidP="00FF417B">
      <w:pPr>
        <w:pStyle w:val="ConsPlusNormal"/>
        <w:outlineLvl w:val="0"/>
        <w:rPr>
          <w:b/>
        </w:rPr>
      </w:pP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1.1. </w:t>
      </w:r>
      <w:proofErr w:type="gramStart"/>
      <w:r>
        <w:t>Данные Правила обмена деловыми подарками и знаками делового гостеприимства (далее - Правила) в Бюджетном учреждении социального обслуживания Вологодской области «Комплексный центр социального обслуживания населения Шекснинского района» (далее - учреждение) разработаны на основе Федерального закона Российской Федерации от 25 декабря 2008 г. № 273-Ф3 «О противодействии коррупции» и определяют единые для всех работников требования к дарению и принятию деловых подарков.</w:t>
      </w:r>
      <w:proofErr w:type="gramEnd"/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1.2. Действие настоящих Правил распространяется на всех работников учреждения вне зависимости от уровня занимаемой должности.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1.3. Целями настоящих Правил являются: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обеспечение единообразного понимания роли и места деловых подарков, делового гостеприимства, представительских мероприятий в деловой практике учреждения;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минимизация рисков, связанных с возможным злоупотреблением получения подарков;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поддержание культуры, в которой деловые подарки, деловое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ведения деятельности учреждения.</w:t>
      </w:r>
    </w:p>
    <w:p w:rsidR="00FF417B" w:rsidRDefault="00FF417B" w:rsidP="00FF417B">
      <w:pPr>
        <w:pStyle w:val="ConsPlusNormal"/>
        <w:ind w:firstLine="720"/>
        <w:outlineLvl w:val="0"/>
      </w:pPr>
    </w:p>
    <w:p w:rsidR="00FF417B" w:rsidRDefault="00FF417B" w:rsidP="00FF417B">
      <w:pPr>
        <w:pStyle w:val="ConsPlusNormal"/>
        <w:ind w:firstLine="720"/>
        <w:jc w:val="center"/>
        <w:outlineLvl w:val="0"/>
        <w:rPr>
          <w:b/>
        </w:rPr>
      </w:pPr>
      <w:r>
        <w:rPr>
          <w:b/>
        </w:rPr>
        <w:t>2. Правила обмена деловыми подарками и знаками делового гостеприимства</w:t>
      </w:r>
    </w:p>
    <w:p w:rsidR="00FF417B" w:rsidRDefault="00FF417B" w:rsidP="00FF417B">
      <w:pPr>
        <w:pStyle w:val="ConsPlusNormal"/>
        <w:ind w:firstLine="720"/>
        <w:jc w:val="center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2.1. Деловые подарки, «корпоративное» гостеприимство и представительские мероприятия должны рассматриваться сотрудниками только как инструмент                               для установления и поддержания деловых отношений и проявление общепринятой вежливости в ходе ведения хозяйственной деятельности.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2.2. Деловые подарки, подлежащие дарению, и знаки делового гостеприимства должны: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соответствовать требованиям антикоррупционного законодательства Российской Федерации, Вологодской области, а также локальных нормативных актов учреждения;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быть вручены и оказаны только от имени учреждения.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2.3. Подарки, которые сотрудники от имени учреждения могут передавать другим лицам или принимать от имени учреждения в связи со своей трудовой деятельностью,                        а также расходы на деловое гостеприимство должны соответствовать следующим критериям: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• </w:t>
      </w:r>
      <w:proofErr w:type="gramStart"/>
      <w:r>
        <w:t>быть прямо связаны</w:t>
      </w:r>
      <w:proofErr w:type="gramEnd"/>
      <w:r>
        <w:t xml:space="preserve"> с уставными целями деятельности учреждения;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быть разумно обоснованными, соразмерными и не являться предметами роскоши;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• не представлять собой скрытое вознаграждение за услугу, действие или </w:t>
      </w:r>
      <w:r>
        <w:lastRenderedPageBreak/>
        <w:t>бездействие, попустительство или покровительство, предоставление прав или принятие определенных решений, либо попытку оказать влияние на получателя с иной незаконной или неэтичной целью;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• не создавать угрозу </w:t>
      </w:r>
      <w:proofErr w:type="spellStart"/>
      <w:r>
        <w:t>репутационного</w:t>
      </w:r>
      <w:proofErr w:type="spellEnd"/>
      <w:r>
        <w:t xml:space="preserve"> риска для учреждения, его сотрудников                      и иных лиц в случае раскрытия информации о совершённых подарках и понесённых представительских расходах;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не противоречить принципам и требованиям действующего законодательства, общепринятым нормам морали и нравственности, антикоррупционной политики, Кодекса этики и служебного поведения и другим внутренним документам учреждения.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center"/>
        <w:outlineLvl w:val="0"/>
        <w:rPr>
          <w:b/>
        </w:rPr>
      </w:pPr>
      <w:r>
        <w:rPr>
          <w:b/>
        </w:rPr>
        <w:t xml:space="preserve">3. Получение работниками учреждения деловых подарков </w:t>
      </w:r>
    </w:p>
    <w:p w:rsidR="00FF417B" w:rsidRDefault="00FF417B" w:rsidP="00FF417B">
      <w:pPr>
        <w:pStyle w:val="ConsPlusNormal"/>
        <w:ind w:firstLine="720"/>
        <w:jc w:val="center"/>
        <w:outlineLvl w:val="0"/>
        <w:rPr>
          <w:b/>
        </w:rPr>
      </w:pPr>
      <w:r>
        <w:rPr>
          <w:b/>
        </w:rPr>
        <w:t>и принятие знаков делового гостеприимства</w:t>
      </w: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3.1. Работники учреждения могут получать деловые подарки, знаки делового гостеприимства только на официальных мероприятиях, если это не противоречит требованиям антикоррупционного законодательства Российской Федерации.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3.2. При получении делового подарка или знаков делового гостеприимства работник учреждения обязан принять меры по недопущению возможности возникновения конфликта интересов в соответствии с Положением о конфликте интересов учреждения.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3.3. В случае возникновения конфликта интересов или возможности возникновения конфликта интересов при получении делового подарка или знаков делового гостеприимства работник учреждения обязан в письменной форме уведомить лицо, ответственное за профилактику коррупционных и иных правонарушений, в соответствии   с процедурой раскрытия конфликта интересов.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3.4. Работники учреждения обязаны в соответствии с настоящими Правилами, уведомлять обо всех случаях получения подарка в связи с их должностным положением или исполнением ими служебных (должностных) обязанностей руководителя учреждения.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3.5. Уведомление о получении подарка в связи с должностным положением                    или исполнением служебных (должностных) обязанностей (далее - уведомление), составленное в 2 </w:t>
      </w:r>
      <w:proofErr w:type="gramStart"/>
      <w:r>
        <w:t>экземплярах</w:t>
      </w:r>
      <w:proofErr w:type="gramEnd"/>
      <w:r>
        <w:t xml:space="preserve"> но форме согласно Приложению 1 к настоящим Правилам              с занесением в «Журнал регистрации уведомлений о получении подарков»                         (Приложение 2), представляется не позднее 3 рабочих дней со дня получения подарка                   в комиссию по противодействию коррупции (далее - комиссия). Один экземпляр уведомления возвращается работнику, представившему уведомление, с отметкой                         о регистрации.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При невозможности подачи уведомления в указанные сроки по причине,                           не зависящей от работника, оно представляется не позднее следующего дня после                       ее устранения.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3.6. </w:t>
      </w:r>
      <w:proofErr w:type="gramStart"/>
      <w:r>
        <w:t>Подарок, стоимость которого подтверждается документами и превышает                3 000 (три) тысячи рублей, либо стоимость которого неизвестна, сдается председателю комиссии, который принимает его на хранение по акту приема-передачи не позднее                     5 рабочих дней со дня регистрации уведомления в соответствующем журнале регистрации (Приложение 3).</w:t>
      </w:r>
      <w:proofErr w:type="gramEnd"/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 xml:space="preserve">3.7.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                   на основе рыночной цены, действующей на дату принятия к учету подарка, или цены                 на аналогичную материальную ценность в сопоставимых условиях с привлечением                  при необходимости комиссии. Сведения о рыночной цене подтверждаются документально, а при невозможности документального подтверждения - экспертным путем. Подарок возвращается сдавшему его </w:t>
      </w:r>
      <w:proofErr w:type="gramStart"/>
      <w:r>
        <w:t>работнику</w:t>
      </w:r>
      <w:proofErr w:type="gramEnd"/>
      <w:r>
        <w:t xml:space="preserve"> но акту приема-передачи в случае, </w:t>
      </w:r>
      <w:r>
        <w:lastRenderedPageBreak/>
        <w:t>если его стоимость не превышает 3 000 (трех) тысячи рублей.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3.8. Работникам учреждения запрещается: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принимать предложения от организаций или третьих лиц о вручении деловых подарков и об оказании знаков делового гостеприимства, деловые подарки и знаки делового гостеприимства в ходе проведения деловых переговоров, при заключении договоров, а также в иных случаях, когда подобные действия могут повлиять или создать впечатление об их влиянии на принимаемые решения;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просить, требовать, вынуждать организации или третьих лиц дарить им либо их родственникам деловые подарки и/или оказывать в их пользу знаки делового гостеприимства;</w:t>
      </w: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• принимать подарки в форме наличных, безналичных денежных средств, ценных бумаг, драгоценных металлов.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center"/>
        <w:outlineLvl w:val="0"/>
        <w:rPr>
          <w:b/>
        </w:rPr>
      </w:pPr>
      <w:r>
        <w:rPr>
          <w:b/>
        </w:rPr>
        <w:t>4. Ответственность</w:t>
      </w:r>
    </w:p>
    <w:p w:rsidR="00FF417B" w:rsidRDefault="00FF417B" w:rsidP="00FF417B">
      <w:pPr>
        <w:pStyle w:val="ConsPlusNormal"/>
        <w:ind w:firstLine="720"/>
        <w:jc w:val="center"/>
        <w:outlineLvl w:val="0"/>
        <w:rPr>
          <w:b/>
        </w:rPr>
      </w:pPr>
    </w:p>
    <w:p w:rsidR="00FF417B" w:rsidRDefault="00FF417B" w:rsidP="00FF417B">
      <w:pPr>
        <w:pStyle w:val="ConsPlusNormal"/>
        <w:ind w:firstLine="720"/>
        <w:jc w:val="both"/>
        <w:outlineLvl w:val="0"/>
      </w:pPr>
      <w:r>
        <w:t>4.1. Неисполнение настоящих Правил может стать основанием для применения                     к работнику мер дисциплинарного, административного, уголовного и гражданско-правового характера.</w:t>
      </w: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pStyle w:val="ConsPlusNormal"/>
        <w:ind w:firstLine="720"/>
        <w:jc w:val="both"/>
        <w:outlineLvl w:val="0"/>
      </w:pPr>
    </w:p>
    <w:p w:rsidR="00FF417B" w:rsidRDefault="00FF417B" w:rsidP="00FF417B">
      <w:pPr>
        <w:jc w:val="right"/>
        <w:rPr>
          <w:rFonts w:ascii="Times New Roman" w:hAnsi="Times New Roman" w:cs="Calibri"/>
          <w:b/>
          <w:szCs w:val="28"/>
          <w:lang w:eastAsia="en-US"/>
        </w:rPr>
      </w:pPr>
      <w:r>
        <w:rPr>
          <w:rFonts w:ascii="Times New Roman" w:hAnsi="Times New Roman" w:cs="Calibri"/>
          <w:b/>
          <w:szCs w:val="28"/>
          <w:lang w:eastAsia="en-US"/>
        </w:rPr>
        <w:lastRenderedPageBreak/>
        <w:t>Приложение 1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>к Правилам обмена деловыми подарками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 xml:space="preserve"> и знаками делового гостеприимства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  <w:r>
        <w:rPr>
          <w:rFonts w:ascii="Times New Roman" w:hAnsi="Times New Roman" w:cs="Calibri"/>
          <w:szCs w:val="28"/>
          <w:lang w:eastAsia="en-US"/>
        </w:rPr>
        <w:t xml:space="preserve">утвержденным приказом от </w:t>
      </w:r>
      <w:r w:rsidR="00604388">
        <w:rPr>
          <w:rFonts w:ascii="Times New Roman" w:hAnsi="Times New Roman" w:cs="Calibri"/>
          <w:szCs w:val="28"/>
          <w:lang w:eastAsia="en-US"/>
        </w:rPr>
        <w:t>07.12.2023</w:t>
      </w:r>
      <w:r>
        <w:rPr>
          <w:rFonts w:ascii="Times New Roman" w:hAnsi="Times New Roman" w:cs="Calibri"/>
          <w:szCs w:val="28"/>
          <w:lang w:eastAsia="en-US"/>
        </w:rPr>
        <w:t xml:space="preserve"> № </w:t>
      </w:r>
      <w:r w:rsidR="00604388">
        <w:rPr>
          <w:rFonts w:ascii="Times New Roman" w:hAnsi="Times New Roman" w:cs="Calibri"/>
          <w:szCs w:val="28"/>
          <w:lang w:eastAsia="en-US"/>
        </w:rPr>
        <w:t>204</w:t>
      </w:r>
    </w:p>
    <w:p w:rsidR="00FF417B" w:rsidRDefault="00FF417B" w:rsidP="00FF417B">
      <w:pPr>
        <w:jc w:val="right"/>
        <w:rPr>
          <w:rFonts w:ascii="Times New Roman" w:hAnsi="Times New Roman" w:cs="Calibri"/>
          <w:szCs w:val="28"/>
          <w:lang w:eastAsia="en-US"/>
        </w:rPr>
      </w:pPr>
    </w:p>
    <w:tbl>
      <w:tblPr>
        <w:tblStyle w:val="af0"/>
        <w:tblW w:w="0" w:type="auto"/>
        <w:tblInd w:w="12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3"/>
        <w:gridCol w:w="4856"/>
      </w:tblGrid>
      <w:tr w:rsidR="00FF417B" w:rsidTr="00FF417B">
        <w:tc>
          <w:tcPr>
            <w:tcW w:w="4644" w:type="dxa"/>
          </w:tcPr>
          <w:p w:rsidR="00FF417B" w:rsidRDefault="00FF417B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927" w:type="dxa"/>
          </w:tcPr>
          <w:p w:rsidR="00FF417B" w:rsidRDefault="00FF417B">
            <w:pPr>
              <w:pStyle w:val="Default"/>
              <w:jc w:val="right"/>
            </w:pPr>
            <w:r>
              <w:rPr>
                <w:i/>
              </w:rPr>
              <w:t>_____________________________________</w:t>
            </w:r>
            <w:r>
              <w:t xml:space="preserve"> </w:t>
            </w:r>
          </w:p>
          <w:p w:rsidR="00FF417B" w:rsidRDefault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   (наименование должности  руководителя Учреждения)</w:t>
            </w:r>
          </w:p>
          <w:p w:rsidR="00FF417B" w:rsidRDefault="00FF417B">
            <w:pPr>
              <w:pStyle w:val="Default"/>
              <w:jc w:val="right"/>
            </w:pPr>
            <w:r>
              <w:t>_____________________________________</w:t>
            </w:r>
          </w:p>
          <w:p w:rsidR="00FF417B" w:rsidRDefault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(ФИО)</w:t>
            </w:r>
          </w:p>
          <w:p w:rsidR="00FF417B" w:rsidRDefault="00FF417B">
            <w:pPr>
              <w:pStyle w:val="Default"/>
              <w:jc w:val="right"/>
            </w:pPr>
            <w:r>
              <w:t>от ___________________________________</w:t>
            </w:r>
          </w:p>
          <w:p w:rsidR="00FF417B" w:rsidRDefault="00FF417B">
            <w:pPr>
              <w:pStyle w:val="Default"/>
              <w:spacing w:before="200"/>
              <w:jc w:val="right"/>
            </w:pPr>
            <w:r>
              <w:t>_____________________________________</w:t>
            </w:r>
          </w:p>
          <w:p w:rsidR="00FF417B" w:rsidRPr="00FF417B" w:rsidRDefault="00FF417B" w:rsidP="00FF417B">
            <w:pPr>
              <w:pStyle w:val="Default"/>
              <w:jc w:val="center"/>
              <w:rPr>
                <w:sz w:val="26"/>
                <w:szCs w:val="26"/>
                <w:vertAlign w:val="superscript"/>
              </w:rPr>
            </w:pPr>
            <w:r>
              <w:rPr>
                <w:sz w:val="26"/>
                <w:szCs w:val="26"/>
                <w:vertAlign w:val="superscript"/>
              </w:rPr>
              <w:t xml:space="preserve">     (ФИО, должность, контактный телефон)</w:t>
            </w:r>
          </w:p>
        </w:tc>
      </w:tr>
    </w:tbl>
    <w:p w:rsidR="00FF417B" w:rsidRDefault="00FF417B" w:rsidP="00FF417B">
      <w:pPr>
        <w:jc w:val="center"/>
        <w:rPr>
          <w:rFonts w:ascii="Times New Roman" w:hAnsi="Times New Roman" w:cs="Calibri"/>
          <w:szCs w:val="28"/>
          <w:lang w:eastAsia="en-US"/>
        </w:rPr>
      </w:pPr>
    </w:p>
    <w:p w:rsidR="00FF417B" w:rsidRDefault="00FF417B" w:rsidP="00FF417B">
      <w:pPr>
        <w:keepNext/>
        <w:keepLines/>
        <w:spacing w:after="296" w:line="280" w:lineRule="exact"/>
        <w:ind w:right="60"/>
        <w:jc w:val="center"/>
        <w:outlineLvl w:val="0"/>
        <w:rPr>
          <w:rFonts w:ascii="Times New Roman" w:hAnsi="Times New Roman" w:cs="Times New Roman"/>
          <w:b/>
          <w:bCs/>
          <w:sz w:val="22"/>
          <w:szCs w:val="22"/>
        </w:rPr>
      </w:pPr>
      <w:bookmarkStart w:id="0" w:name="bookmark1"/>
      <w:r>
        <w:rPr>
          <w:rFonts w:ascii="Times New Roman" w:hAnsi="Times New Roman"/>
          <w:b/>
          <w:bCs/>
          <w:color w:val="000000"/>
        </w:rPr>
        <w:t>УВЕДОМЛЕНИЕ О ПОЛУЧЕНИИ ПОДАРКА</w:t>
      </w:r>
      <w:bookmarkEnd w:id="0"/>
    </w:p>
    <w:p w:rsidR="00FF417B" w:rsidRDefault="00FF417B" w:rsidP="00FF417B">
      <w:pPr>
        <w:tabs>
          <w:tab w:val="right" w:pos="6971"/>
        </w:tabs>
        <w:spacing w:after="258" w:line="210" w:lineRule="exact"/>
        <w:jc w:val="both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color w:val="000000"/>
          <w:sz w:val="21"/>
          <w:szCs w:val="21"/>
        </w:rPr>
        <w:t>от «___»________20___ г.</w:t>
      </w:r>
      <w:bookmarkStart w:id="1" w:name="_GoBack"/>
      <w:bookmarkEnd w:id="1"/>
    </w:p>
    <w:p w:rsidR="00FF417B" w:rsidRDefault="00FF417B" w:rsidP="00FF417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Извещаю о получении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FF417B" w:rsidRDefault="00FF417B" w:rsidP="00FF417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(наименование протокольного мероприятия, служебной командировки, другого официального мероприятия, место и дата проведения)</w:t>
      </w: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center"/>
        <w:rPr>
          <w:rFonts w:ascii="Times New Roman" w:hAnsi="Times New Roman"/>
          <w:color w:val="000000"/>
        </w:rPr>
      </w:pP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both"/>
        <w:rPr>
          <w:rFonts w:ascii="Times New Roman" w:hAnsi="Times New Roman"/>
          <w:color w:val="000000"/>
        </w:rPr>
      </w:pPr>
    </w:p>
    <w:p w:rsidR="00FF417B" w:rsidRDefault="00FF417B" w:rsidP="00FF417B">
      <w:pPr>
        <w:framePr w:w="9700" w:wrap="notBeside" w:vAnchor="text" w:hAnchor="text" w:xAlign="center" w:y="1"/>
        <w:spacing w:line="150" w:lineRule="exact"/>
        <w:jc w:val="both"/>
        <w:rPr>
          <w:rFonts w:ascii="Times New Roman" w:hAnsi="Times New Roman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2690"/>
        <w:gridCol w:w="2560"/>
        <w:gridCol w:w="2295"/>
        <w:gridCol w:w="1465"/>
      </w:tblGrid>
      <w:tr w:rsidR="00FF417B" w:rsidTr="00FF417B">
        <w:trPr>
          <w:trHeight w:hRule="exact" w:val="976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spacing w:after="60"/>
              <w:ind w:left="22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№</w:t>
            </w:r>
          </w:p>
          <w:p w:rsidR="00FF417B" w:rsidRDefault="00FF417B">
            <w:pPr>
              <w:framePr w:w="9700" w:wrap="notBeside" w:vAnchor="text" w:hAnchor="text" w:xAlign="center" w:y="1"/>
              <w:spacing w:before="60"/>
              <w:ind w:left="220"/>
              <w:contextualSpacing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  <w:color w:val="000000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hd w:val="clear" w:color="auto" w:fill="FFFFFF"/>
              </w:rPr>
              <w:t>/п</w:t>
            </w: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ind w:left="18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Наименование подарка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Характеристика подарка, его описание</w:t>
            </w: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spacing w:after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Количество</w:t>
            </w:r>
          </w:p>
          <w:p w:rsidR="00FF417B" w:rsidRDefault="00FF417B">
            <w:pPr>
              <w:framePr w:w="9700" w:wrap="notBeside" w:vAnchor="text" w:hAnchor="text" w:xAlign="center" w:y="1"/>
              <w:spacing w:before="12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предметов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FF417B" w:rsidRDefault="00FF417B">
            <w:pPr>
              <w:framePr w:w="9700" w:wrap="notBeside" w:vAnchor="text" w:hAnchor="text" w:xAlign="center" w:y="1"/>
              <w:ind w:left="240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</w:rPr>
              <w:t>Стоимость в рублях</w:t>
            </w:r>
          </w:p>
        </w:tc>
      </w:tr>
      <w:tr w:rsidR="00FF417B" w:rsidTr="00FF417B">
        <w:trPr>
          <w:trHeight w:hRule="exact" w:val="29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29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28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  <w:tr w:rsidR="00FF417B" w:rsidTr="00FF417B">
        <w:trPr>
          <w:trHeight w:hRule="exact" w:val="315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17B" w:rsidRDefault="00FF417B">
            <w:pPr>
              <w:framePr w:w="9700" w:wrap="notBeside" w:vAnchor="text" w:hAnchor="text" w:xAlign="center" w:y="1"/>
              <w:rPr>
                <w:rFonts w:ascii="Times New Roman" w:hAnsi="Times New Roman"/>
                <w:color w:val="000000"/>
              </w:rPr>
            </w:pPr>
          </w:p>
        </w:tc>
      </w:tr>
    </w:tbl>
    <w:p w:rsidR="00FF417B" w:rsidRDefault="00FF417B" w:rsidP="00FF417B">
      <w:pPr>
        <w:framePr w:w="9700" w:wrap="notBeside" w:vAnchor="text" w:hAnchor="text" w:xAlign="center" w:y="1"/>
        <w:tabs>
          <w:tab w:val="left" w:leader="underscore" w:pos="7280"/>
          <w:tab w:val="left" w:leader="underscore" w:pos="8775"/>
        </w:tabs>
        <w:spacing w:line="210" w:lineRule="exact"/>
        <w:jc w:val="both"/>
        <w:rPr>
          <w:rFonts w:ascii="Times New Roman" w:hAnsi="Times New Roman"/>
          <w:color w:val="000000"/>
        </w:rPr>
      </w:pPr>
    </w:p>
    <w:p w:rsidR="00FF417B" w:rsidRDefault="00FF417B" w:rsidP="00FF417B">
      <w:pPr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 xml:space="preserve"> _______________________________________________ на __________ листах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(наименование документа)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Работник, представивший уведомление ______________________________________________________          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(ФИО)</w:t>
      </w:r>
      <w:r>
        <w:rPr>
          <w:rFonts w:ascii="Times New Roman" w:hAnsi="Times New Roman"/>
        </w:rPr>
        <w:tab/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TOC \o "1-5" \h \z </w:instrText>
      </w:r>
      <w:r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t>«___»____________ 20__ г.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Лицо, принявшее уведомление______________________________________________________________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(ФИО)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«___»_____________ 20__г.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Регистрационный номер в журнале регистраций уведомлений ______________</w:t>
      </w:r>
    </w:p>
    <w:p w:rsidR="00FF417B" w:rsidRDefault="00FF417B" w:rsidP="00FF417B">
      <w:pPr>
        <w:rPr>
          <w:rFonts w:ascii="Times New Roman" w:hAnsi="Times New Roman"/>
        </w:rPr>
      </w:pPr>
      <w:r>
        <w:rPr>
          <w:rFonts w:ascii="Times New Roman" w:hAnsi="Times New Roman"/>
        </w:rPr>
        <w:t>«___» _____________20__г.</w:t>
      </w:r>
      <w:r>
        <w:rPr>
          <w:rFonts w:ascii="Times New Roman" w:hAnsi="Times New Roman"/>
        </w:rPr>
        <w:fldChar w:fldCharType="end"/>
      </w: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FF417B" w:rsidRDefault="00FF417B" w:rsidP="00FF417B">
      <w:pPr>
        <w:rPr>
          <w:rFonts w:ascii="Times New Roman" w:hAnsi="Times New Roman"/>
        </w:rPr>
      </w:pPr>
    </w:p>
    <w:p w:rsidR="00C9189A" w:rsidRDefault="00C9189A" w:rsidP="00C9189A">
      <w:pPr>
        <w:jc w:val="center"/>
        <w:rPr>
          <w:b/>
        </w:rPr>
      </w:pPr>
    </w:p>
    <w:sectPr w:rsidR="00C9189A" w:rsidSect="00FF417B">
      <w:head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55A" w:rsidRDefault="0022255A">
      <w:pPr>
        <w:pStyle w:val="12"/>
        <w:spacing w:after="0" w:line="240" w:lineRule="auto"/>
      </w:pPr>
      <w:r>
        <w:separator/>
      </w:r>
    </w:p>
  </w:endnote>
  <w:endnote w:type="continuationSeparator" w:id="0">
    <w:p w:rsidR="0022255A" w:rsidRDefault="0022255A">
      <w:pPr>
        <w:pStyle w:val="12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algun Gothic"/>
    <w:charset w:val="00"/>
    <w:family w:val="auto"/>
    <w:pitch w:val="default"/>
  </w:font>
  <w:font w:name="Liberation Serif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55A" w:rsidRDefault="0022255A">
      <w:pPr>
        <w:pStyle w:val="12"/>
        <w:spacing w:after="0" w:line="240" w:lineRule="auto"/>
      </w:pPr>
      <w:r>
        <w:separator/>
      </w:r>
    </w:p>
  </w:footnote>
  <w:footnote w:type="continuationSeparator" w:id="0">
    <w:p w:rsidR="0022255A" w:rsidRDefault="0022255A">
      <w:pPr>
        <w:pStyle w:val="12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B6D" w:rsidRDefault="00392A37">
    <w:pPr>
      <w:pStyle w:val="3f3f3f3f3f3f3f3f3f3f3f3f3f3f3f3f3f"/>
      <w:jc w:val="center"/>
    </w:pPr>
    <w:r>
      <w:rPr>
        <w:rFonts w:ascii="Times New Roman" w:hAnsi="Times New Roman" w:cs="Times New Roman"/>
        <w:lang w:val="en-US" w:eastAsia="en-US"/>
      </w:rPr>
      <w:fldChar w:fldCharType="begin"/>
    </w:r>
    <w:r>
      <w:rPr>
        <w:rFonts w:ascii="Times New Roman" w:hAnsi="Times New Roman" w:cs="Times New Roman"/>
        <w:lang w:val="en-US" w:eastAsia="en-US"/>
      </w:rPr>
      <w:instrText xml:space="preserve"> PAGE </w:instrText>
    </w:r>
    <w:r>
      <w:rPr>
        <w:rFonts w:ascii="Times New Roman" w:hAnsi="Times New Roman" w:cs="Times New Roman"/>
        <w:lang w:val="en-US" w:eastAsia="en-US"/>
      </w:rPr>
      <w:fldChar w:fldCharType="separate"/>
    </w:r>
    <w:r w:rsidR="00604388">
      <w:rPr>
        <w:rFonts w:ascii="Times New Roman" w:hAnsi="Times New Roman" w:cs="Times New Roman"/>
        <w:noProof/>
        <w:lang w:val="en-US" w:eastAsia="en-US"/>
      </w:rPr>
      <w:t>4</w:t>
    </w:r>
    <w:r>
      <w:rPr>
        <w:rFonts w:ascii="Times New Roman" w:hAnsi="Times New Roman" w:cs="Times New Roman"/>
        <w:lang w:val="en-US" w:eastAsia="en-US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0C93"/>
    <w:multiLevelType w:val="hybridMultilevel"/>
    <w:tmpl w:val="2702E43E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B1CA5"/>
    <w:multiLevelType w:val="hybridMultilevel"/>
    <w:tmpl w:val="50B46614"/>
    <w:lvl w:ilvl="0" w:tplc="C6380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A81C3E"/>
    <w:multiLevelType w:val="hybridMultilevel"/>
    <w:tmpl w:val="47E6AE38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4B275A9"/>
    <w:multiLevelType w:val="hybridMultilevel"/>
    <w:tmpl w:val="50CACDD2"/>
    <w:lvl w:ilvl="0" w:tplc="C63800A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>
    <w:nsid w:val="29166DB6"/>
    <w:multiLevelType w:val="hybridMultilevel"/>
    <w:tmpl w:val="3AAC4284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8B0DE7"/>
    <w:multiLevelType w:val="hybridMultilevel"/>
    <w:tmpl w:val="141CE72A"/>
    <w:lvl w:ilvl="0" w:tplc="C63800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0E03CF4"/>
    <w:multiLevelType w:val="hybridMultilevel"/>
    <w:tmpl w:val="3ABC9EF4"/>
    <w:lvl w:ilvl="0" w:tplc="C6380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AB1D69"/>
    <w:multiLevelType w:val="hybridMultilevel"/>
    <w:tmpl w:val="024C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5A1615"/>
    <w:multiLevelType w:val="hybridMultilevel"/>
    <w:tmpl w:val="CCF69BC4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9F4267"/>
    <w:multiLevelType w:val="hybridMultilevel"/>
    <w:tmpl w:val="551EE3AA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F643D36"/>
    <w:multiLevelType w:val="hybridMultilevel"/>
    <w:tmpl w:val="1E4EFA2C"/>
    <w:lvl w:ilvl="0" w:tplc="910E735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C63800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2C4453"/>
    <w:multiLevelType w:val="hybridMultilevel"/>
    <w:tmpl w:val="AAE0CCDE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2F428A"/>
    <w:multiLevelType w:val="hybridMultilevel"/>
    <w:tmpl w:val="C204C850"/>
    <w:lvl w:ilvl="0" w:tplc="C63800A2">
      <w:start w:val="1"/>
      <w:numFmt w:val="bullet"/>
      <w:lvlText w:val=""/>
      <w:lvlJc w:val="left"/>
      <w:pPr>
        <w:ind w:left="7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4">
    <w:nsid w:val="79772E47"/>
    <w:multiLevelType w:val="hybridMultilevel"/>
    <w:tmpl w:val="76A4EACC"/>
    <w:lvl w:ilvl="0" w:tplc="C63800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7C6B5A45"/>
    <w:multiLevelType w:val="hybridMultilevel"/>
    <w:tmpl w:val="8E1098A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5"/>
  </w:num>
  <w:num w:numId="8">
    <w:abstractNumId w:val="11"/>
  </w:num>
  <w:num w:numId="9">
    <w:abstractNumId w:val="13"/>
  </w:num>
  <w:num w:numId="10">
    <w:abstractNumId w:val="7"/>
  </w:num>
  <w:num w:numId="11">
    <w:abstractNumId w:val="6"/>
  </w:num>
  <w:num w:numId="12">
    <w:abstractNumId w:val="1"/>
  </w:num>
  <w:num w:numId="13">
    <w:abstractNumId w:val="9"/>
  </w:num>
  <w:num w:numId="14">
    <w:abstractNumId w:val="10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B6D"/>
    <w:rsid w:val="000C3F00"/>
    <w:rsid w:val="00180877"/>
    <w:rsid w:val="0018097A"/>
    <w:rsid w:val="00192D7D"/>
    <w:rsid w:val="0022255A"/>
    <w:rsid w:val="002A60BA"/>
    <w:rsid w:val="0031205A"/>
    <w:rsid w:val="00392A37"/>
    <w:rsid w:val="004147A1"/>
    <w:rsid w:val="00452E7A"/>
    <w:rsid w:val="00466876"/>
    <w:rsid w:val="00507D5B"/>
    <w:rsid w:val="005E7900"/>
    <w:rsid w:val="00604388"/>
    <w:rsid w:val="006745A3"/>
    <w:rsid w:val="00725606"/>
    <w:rsid w:val="007F181D"/>
    <w:rsid w:val="009D5987"/>
    <w:rsid w:val="009F2670"/>
    <w:rsid w:val="00A578BF"/>
    <w:rsid w:val="00C9189A"/>
    <w:rsid w:val="00CE5D61"/>
    <w:rsid w:val="00D069D9"/>
    <w:rsid w:val="00D462C6"/>
    <w:rsid w:val="00D52B54"/>
    <w:rsid w:val="00DB3B6D"/>
    <w:rsid w:val="00F24AEC"/>
    <w:rsid w:val="00F34C83"/>
    <w:rsid w:val="00FF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  <w:style w:type="character" w:customStyle="1" w:styleId="42">
    <w:name w:val="Основной текст (4)_"/>
    <w:link w:val="43"/>
    <w:locked/>
    <w:rsid w:val="00FF417B"/>
    <w:rPr>
      <w:rFonts w:cs="Times New Roman"/>
      <w:spacing w:val="10"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F417B"/>
    <w:pPr>
      <w:shd w:val="clear" w:color="auto" w:fill="FFFFFF"/>
      <w:spacing w:before="1560" w:after="120" w:line="240" w:lineRule="atLeast"/>
    </w:pPr>
    <w:rPr>
      <w:rFonts w:ascii="Times New Roman" w:eastAsia="DejaVu Sans" w:hAnsi="Times New Roman" w:cs="Times New Roman"/>
      <w:spacing w:val="10"/>
      <w:sz w:val="26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widowControl w:val="0"/>
    </w:pPr>
    <w:rPr>
      <w:rFonts w:ascii="Liberation Serif" w:eastAsia="Courier New" w:hAnsi="Liberation Serif" w:cs="Liberation Serif"/>
      <w:lang w:val="ru-RU" w:eastAsia="ru-RU"/>
    </w:rPr>
  </w:style>
  <w:style w:type="paragraph" w:styleId="1">
    <w:name w:val="heading 1"/>
    <w:basedOn w:val="a0"/>
    <w:next w:val="a0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0"/>
    <w:next w:val="a0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0"/>
    <w:next w:val="a0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0"/>
    <w:next w:val="a0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0"/>
    <w:next w:val="a0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0"/>
    <w:next w:val="a0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0"/>
    <w:next w:val="a0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0"/>
    <w:next w:val="a0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1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1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1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0"/>
    <w:uiPriority w:val="34"/>
    <w:qFormat/>
    <w:pPr>
      <w:ind w:left="720"/>
      <w:contextualSpacing/>
    </w:pPr>
  </w:style>
  <w:style w:type="paragraph" w:styleId="a5">
    <w:name w:val="No Spacing"/>
    <w:uiPriority w:val="1"/>
    <w:qFormat/>
  </w:style>
  <w:style w:type="paragraph" w:styleId="a6">
    <w:name w:val="Title"/>
    <w:basedOn w:val="a0"/>
    <w:next w:val="a0"/>
    <w:link w:val="a7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basedOn w:val="a1"/>
    <w:link w:val="a6"/>
    <w:uiPriority w:val="10"/>
    <w:rPr>
      <w:sz w:val="48"/>
      <w:szCs w:val="48"/>
    </w:rPr>
  </w:style>
  <w:style w:type="paragraph" w:styleId="a8">
    <w:name w:val="Subtitle"/>
    <w:basedOn w:val="a0"/>
    <w:next w:val="a0"/>
    <w:link w:val="a9"/>
    <w:uiPriority w:val="11"/>
    <w:qFormat/>
    <w:pPr>
      <w:spacing w:before="200" w:after="200"/>
    </w:pPr>
  </w:style>
  <w:style w:type="character" w:customStyle="1" w:styleId="a9">
    <w:name w:val="Подзаголовок Знак"/>
    <w:basedOn w:val="a1"/>
    <w:link w:val="a8"/>
    <w:uiPriority w:val="11"/>
    <w:rPr>
      <w:sz w:val="24"/>
      <w:szCs w:val="24"/>
    </w:rPr>
  </w:style>
  <w:style w:type="paragraph" w:styleId="21">
    <w:name w:val="Quote"/>
    <w:basedOn w:val="a0"/>
    <w:next w:val="a0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a">
    <w:name w:val="Intense Quote"/>
    <w:basedOn w:val="a0"/>
    <w:next w:val="a0"/>
    <w:link w:val="ab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Pr>
      <w:i/>
    </w:rPr>
  </w:style>
  <w:style w:type="character" w:customStyle="1" w:styleId="ac">
    <w:name w:val="Верхний колонтитул Знак"/>
    <w:basedOn w:val="a1"/>
    <w:link w:val="ad"/>
    <w:uiPriority w:val="99"/>
  </w:style>
  <w:style w:type="paragraph" w:styleId="ae">
    <w:name w:val="footer"/>
    <w:basedOn w:val="a0"/>
    <w:link w:val="af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1"/>
    <w:uiPriority w:val="99"/>
  </w:style>
  <w:style w:type="character" w:customStyle="1" w:styleId="af">
    <w:name w:val="Нижний колонтитул Знак"/>
    <w:link w:val="ae"/>
    <w:uiPriority w:val="99"/>
  </w:style>
  <w:style w:type="table" w:styleId="af0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0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basedOn w:val="a1"/>
    <w:uiPriority w:val="99"/>
    <w:unhideWhenUsed/>
    <w:rPr>
      <w:vertAlign w:val="superscript"/>
    </w:rPr>
  </w:style>
  <w:style w:type="paragraph" w:styleId="af5">
    <w:name w:val="endnote text"/>
    <w:basedOn w:val="a0"/>
    <w:link w:val="af6"/>
    <w:uiPriority w:val="99"/>
    <w:semiHidden/>
    <w:unhideWhenUsed/>
    <w:rPr>
      <w:sz w:val="20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basedOn w:val="a1"/>
    <w:uiPriority w:val="99"/>
    <w:semiHidden/>
    <w:unhideWhenUsed/>
    <w:rPr>
      <w:vertAlign w:val="superscript"/>
    </w:rPr>
  </w:style>
  <w:style w:type="paragraph" w:styleId="11">
    <w:name w:val="toc 1"/>
    <w:basedOn w:val="a0"/>
    <w:next w:val="a0"/>
    <w:uiPriority w:val="39"/>
    <w:unhideWhenUsed/>
    <w:pPr>
      <w:spacing w:after="57"/>
    </w:pPr>
  </w:style>
  <w:style w:type="paragraph" w:styleId="23">
    <w:name w:val="toc 2"/>
    <w:basedOn w:val="a0"/>
    <w:next w:val="a0"/>
    <w:uiPriority w:val="39"/>
    <w:unhideWhenUsed/>
    <w:pPr>
      <w:spacing w:after="57"/>
      <w:ind w:left="283"/>
    </w:pPr>
  </w:style>
  <w:style w:type="paragraph" w:styleId="31">
    <w:name w:val="toc 3"/>
    <w:basedOn w:val="a0"/>
    <w:next w:val="a0"/>
    <w:uiPriority w:val="39"/>
    <w:unhideWhenUsed/>
    <w:pPr>
      <w:spacing w:after="57"/>
      <w:ind w:left="567"/>
    </w:pPr>
  </w:style>
  <w:style w:type="paragraph" w:styleId="41">
    <w:name w:val="toc 4"/>
    <w:basedOn w:val="a0"/>
    <w:next w:val="a0"/>
    <w:uiPriority w:val="39"/>
    <w:unhideWhenUsed/>
    <w:pPr>
      <w:spacing w:after="57"/>
      <w:ind w:left="850"/>
    </w:pPr>
  </w:style>
  <w:style w:type="paragraph" w:styleId="51">
    <w:name w:val="toc 5"/>
    <w:basedOn w:val="a0"/>
    <w:next w:val="a0"/>
    <w:uiPriority w:val="39"/>
    <w:unhideWhenUsed/>
    <w:pPr>
      <w:spacing w:after="57"/>
      <w:ind w:left="1134"/>
    </w:pPr>
  </w:style>
  <w:style w:type="paragraph" w:styleId="61">
    <w:name w:val="toc 6"/>
    <w:basedOn w:val="a0"/>
    <w:next w:val="a0"/>
    <w:uiPriority w:val="39"/>
    <w:unhideWhenUsed/>
    <w:pPr>
      <w:spacing w:after="57"/>
      <w:ind w:left="1417"/>
    </w:pPr>
  </w:style>
  <w:style w:type="paragraph" w:styleId="71">
    <w:name w:val="toc 7"/>
    <w:basedOn w:val="a0"/>
    <w:next w:val="a0"/>
    <w:uiPriority w:val="39"/>
    <w:unhideWhenUsed/>
    <w:pPr>
      <w:spacing w:after="57"/>
      <w:ind w:left="1701"/>
    </w:pPr>
  </w:style>
  <w:style w:type="paragraph" w:styleId="81">
    <w:name w:val="toc 8"/>
    <w:basedOn w:val="a0"/>
    <w:next w:val="a0"/>
    <w:uiPriority w:val="39"/>
    <w:unhideWhenUsed/>
    <w:pPr>
      <w:spacing w:after="57"/>
      <w:ind w:left="1984"/>
    </w:pPr>
  </w:style>
  <w:style w:type="paragraph" w:styleId="91">
    <w:name w:val="toc 9"/>
    <w:basedOn w:val="a0"/>
    <w:next w:val="a0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0"/>
    <w:next w:val="a0"/>
    <w:uiPriority w:val="99"/>
    <w:unhideWhenUsed/>
  </w:style>
  <w:style w:type="character" w:customStyle="1" w:styleId="3f3f3f3f3f3f3f3f-3f3f3f3f3f3f">
    <w:name w:val="И3fн3fт3fе3fр3fн3fе3fт3f-с3fс3fы3fл3fк3fа3f"/>
    <w:qFormat/>
    <w:rPr>
      <w:color w:val="000080"/>
      <w:u w:val="single"/>
    </w:rPr>
  </w:style>
  <w:style w:type="paragraph" w:customStyle="1" w:styleId="Heading">
    <w:name w:val="Heading"/>
    <w:basedOn w:val="a0"/>
    <w:next w:val="afa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a">
    <w:name w:val="Body Text"/>
    <w:basedOn w:val="a0"/>
    <w:pPr>
      <w:spacing w:after="140" w:line="276" w:lineRule="auto"/>
    </w:pPr>
  </w:style>
  <w:style w:type="paragraph" w:styleId="afb">
    <w:name w:val="List"/>
    <w:basedOn w:val="afa"/>
  </w:style>
  <w:style w:type="paragraph" w:styleId="afc">
    <w:name w:val="caption"/>
    <w:basedOn w:val="a0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0"/>
    <w:qFormat/>
    <w:pPr>
      <w:suppressLineNumbers/>
    </w:pPr>
  </w:style>
  <w:style w:type="paragraph" w:customStyle="1" w:styleId="12">
    <w:name w:val="Обычная таблица1"/>
    <w:qFormat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ru-RU" w:eastAsia="ru-RU" w:bidi="ar-SA"/>
    </w:rPr>
  </w:style>
  <w:style w:type="paragraph" w:customStyle="1" w:styleId="3f3f3f3f3f3f3f3f3f">
    <w:name w:val="Ç3fà3fã3fî3fë3fî3fâ3fî3fê3f"/>
    <w:basedOn w:val="a0"/>
    <w:qFormat/>
    <w:pPr>
      <w:keepNext/>
      <w:spacing w:before="240" w:after="120"/>
    </w:pPr>
    <w:rPr>
      <w:rFonts w:eastAsia="Times New Roman" w:cs="Liberation Sans"/>
      <w:sz w:val="28"/>
      <w:szCs w:val="28"/>
    </w:rPr>
  </w:style>
  <w:style w:type="paragraph" w:customStyle="1" w:styleId="3f3f3f3f3f3f3f3f3f3f3f3f3f">
    <w:name w:val="Î3fñ3fí3fî3fâ3fí3fî3fé3f ò3få3fê3fñ3fò3f"/>
    <w:basedOn w:val="a0"/>
    <w:qFormat/>
    <w:pPr>
      <w:spacing w:after="140" w:line="276" w:lineRule="auto"/>
    </w:pPr>
  </w:style>
  <w:style w:type="paragraph" w:customStyle="1" w:styleId="3f3f3f3f3f3f">
    <w:name w:val="Ñ3fï3fè3fñ3fî3fê3f"/>
    <w:basedOn w:val="3f3f3f3f3f3f3f3f3f3f3f3f3f"/>
    <w:qFormat/>
  </w:style>
  <w:style w:type="paragraph" w:customStyle="1" w:styleId="3f3f3f3f3f3f3f3f">
    <w:name w:val="Í3fà3fç3fâ3fà3fí3fè3få3f"/>
    <w:basedOn w:val="a0"/>
    <w:qFormat/>
    <w:pPr>
      <w:spacing w:before="120" w:after="120"/>
    </w:pPr>
    <w:rPr>
      <w:i/>
      <w:iCs/>
    </w:rPr>
  </w:style>
  <w:style w:type="paragraph" w:customStyle="1" w:styleId="3f3f3f3f3f3f3f3f3f0">
    <w:name w:val="Ó3fê3fà3fç3fà3fò3få3fë3fü3f"/>
    <w:basedOn w:val="a0"/>
    <w:qFormat/>
  </w:style>
  <w:style w:type="paragraph" w:customStyle="1" w:styleId="ConsPlusNormal">
    <w:name w:val="ConsPlusNormal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Nonformat">
    <w:name w:val="ConsPlusNonformat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Title">
    <w:name w:val="ConsPlusTitle"/>
    <w:qFormat/>
    <w:pPr>
      <w:widowControl w:val="0"/>
    </w:pPr>
    <w:rPr>
      <w:rFonts w:ascii="Liberation Serif" w:eastAsia="Times New Roman" w:hAnsi="Liberation Serif" w:cs="Arial"/>
      <w:b/>
      <w:bCs/>
      <w:lang w:val="ru-RU" w:eastAsia="ru-RU"/>
    </w:rPr>
  </w:style>
  <w:style w:type="paragraph" w:customStyle="1" w:styleId="ConsPlusCell">
    <w:name w:val="ConsPlusCell"/>
    <w:qFormat/>
    <w:pPr>
      <w:widowControl w:val="0"/>
    </w:pPr>
    <w:rPr>
      <w:rFonts w:ascii="Liberation Serif" w:eastAsia="Times New Roman" w:hAnsi="Liberation Serif" w:cs="Courier New"/>
      <w:sz w:val="20"/>
      <w:szCs w:val="20"/>
      <w:lang w:val="ru-RU" w:eastAsia="ru-RU"/>
    </w:rPr>
  </w:style>
  <w:style w:type="paragraph" w:customStyle="1" w:styleId="ConsPlusDocList">
    <w:name w:val="ConsPlusDocList"/>
    <w:qFormat/>
    <w:pPr>
      <w:widowControl w:val="0"/>
    </w:pPr>
    <w:rPr>
      <w:rFonts w:ascii="Liberation Serif" w:eastAsia="Times New Roman" w:hAnsi="Liberation Serif" w:cs="Tahoma"/>
      <w:sz w:val="18"/>
      <w:szCs w:val="18"/>
      <w:lang w:val="ru-RU" w:eastAsia="ru-RU"/>
    </w:rPr>
  </w:style>
  <w:style w:type="paragraph" w:customStyle="1" w:styleId="ConsPlusTitlePage">
    <w:name w:val="ConsPlusTitlePage"/>
    <w:qFormat/>
    <w:pPr>
      <w:widowControl w:val="0"/>
    </w:pPr>
    <w:rPr>
      <w:rFonts w:ascii="Liberation Serif" w:eastAsia="Times New Roman" w:hAnsi="Liberation Serif" w:cs="Tahoma"/>
      <w:lang w:val="ru-RU" w:eastAsia="ru-RU"/>
    </w:rPr>
  </w:style>
  <w:style w:type="paragraph" w:customStyle="1" w:styleId="ConsPlusJurTerm">
    <w:name w:val="ConsPlusJurTerm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ConsPlusTextList">
    <w:name w:val="ConsPlusTextList"/>
    <w:qFormat/>
    <w:pPr>
      <w:widowControl w:val="0"/>
    </w:pPr>
    <w:rPr>
      <w:rFonts w:ascii="Liberation Serif" w:eastAsia="Times New Roman" w:hAnsi="Liberation Serif" w:cs="Times New Roman"/>
      <w:lang w:val="ru-RU" w:eastAsia="ru-RU"/>
    </w:rPr>
  </w:style>
  <w:style w:type="paragraph" w:customStyle="1" w:styleId="3f3f3f3f3f3f3f3f3f3f3f3f3f3f3f3f3f3f3f3f3f3f3f3f3f">
    <w:name w:val="Â3få3fð3fõ3fí3fè3fé3f è3f í3fè3fæ3fí3fè3fé3f ê3fî3fë3fî3fí3fò3fè3fò3fó3fë3fû3f"/>
    <w:basedOn w:val="a0"/>
    <w:qFormat/>
  </w:style>
  <w:style w:type="paragraph" w:customStyle="1" w:styleId="3f3f3f3f3f3f3f3f3f3f3f3f3f3f3f3f3f">
    <w:name w:val="Â3få3fð3fõ3fí3fè3fé3f ê3fî3fë3fî3fí3fò3fè3fò3fó3fë3f"/>
    <w:basedOn w:val="3f3f3f3f3f3f3f3f3f3f3f3f3f3f3f3f3f3f3f3f3f3f3f3f3f"/>
    <w:qFormat/>
  </w:style>
  <w:style w:type="paragraph" w:customStyle="1" w:styleId="3f3f3f3f3f3f3f3f3f3f3f3f3f3f3f3f">
    <w:name w:val="Í3fè3fæ3fí3fè3fé3f ê3fî3fë3fî3fí3fò3fè3fò3fó3fë3f"/>
    <w:basedOn w:val="3f3f3f3f3f3f3f3f3f3f3f3f3f3f3f3f3f3f3f3f3f3f3f3f3f"/>
    <w:qFormat/>
  </w:style>
  <w:style w:type="paragraph" w:customStyle="1" w:styleId="HeaderandFooter">
    <w:name w:val="Header and Footer"/>
    <w:basedOn w:val="a0"/>
    <w:qFormat/>
  </w:style>
  <w:style w:type="paragraph" w:styleId="ad">
    <w:name w:val="header"/>
    <w:basedOn w:val="HeaderandFooter"/>
    <w:link w:val="ac"/>
  </w:style>
  <w:style w:type="paragraph" w:styleId="afd">
    <w:name w:val="Normal (Web)"/>
    <w:basedOn w:val="a0"/>
    <w:uiPriority w:val="99"/>
    <w:semiHidden/>
    <w:unhideWhenUsed/>
    <w:rsid w:val="006745A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bidi="ar-SA"/>
    </w:rPr>
  </w:style>
  <w:style w:type="paragraph" w:styleId="afe">
    <w:name w:val="Balloon Text"/>
    <w:basedOn w:val="a0"/>
    <w:link w:val="aff"/>
    <w:uiPriority w:val="99"/>
    <w:semiHidden/>
    <w:unhideWhenUsed/>
    <w:rsid w:val="00466876"/>
    <w:rPr>
      <w:rFonts w:ascii="Tahoma" w:hAnsi="Tahoma" w:cs="Mangal"/>
      <w:sz w:val="16"/>
      <w:szCs w:val="14"/>
    </w:rPr>
  </w:style>
  <w:style w:type="character" w:customStyle="1" w:styleId="aff">
    <w:name w:val="Текст выноски Знак"/>
    <w:basedOn w:val="a1"/>
    <w:link w:val="afe"/>
    <w:uiPriority w:val="99"/>
    <w:semiHidden/>
    <w:rsid w:val="00466876"/>
    <w:rPr>
      <w:rFonts w:ascii="Tahoma" w:eastAsia="Courier New" w:hAnsi="Tahoma" w:cs="Mangal"/>
      <w:sz w:val="16"/>
      <w:szCs w:val="14"/>
      <w:lang w:val="ru-RU" w:eastAsia="ru-RU"/>
    </w:rPr>
  </w:style>
  <w:style w:type="paragraph" w:customStyle="1" w:styleId="a">
    <w:name w:val="_Пункт"/>
    <w:basedOn w:val="a0"/>
    <w:rsid w:val="00F24AEC"/>
    <w:pPr>
      <w:widowControl/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  <w:jc w:val="both"/>
    </w:pPr>
    <w:rPr>
      <w:rFonts w:ascii="Times New Roman" w:eastAsia="Times New Roman" w:hAnsi="Times New Roman" w:cs="Times New Roman"/>
      <w:kern w:val="26"/>
      <w:sz w:val="28"/>
      <w:szCs w:val="28"/>
      <w:lang w:eastAsia="en-US" w:bidi="ar-SA"/>
    </w:rPr>
  </w:style>
  <w:style w:type="paragraph" w:customStyle="1" w:styleId="Default">
    <w:name w:val="Default"/>
    <w:rsid w:val="00C9189A"/>
    <w:pPr>
      <w:autoSpaceDE w:val="0"/>
      <w:autoSpaceDN w:val="0"/>
      <w:adjustRightInd w:val="0"/>
    </w:pPr>
    <w:rPr>
      <w:rFonts w:eastAsiaTheme="minorHAnsi" w:cs="Times New Roman"/>
      <w:color w:val="000000"/>
      <w:lang w:val="ru-RU" w:eastAsia="en-US" w:bidi="ar-SA"/>
    </w:rPr>
  </w:style>
  <w:style w:type="character" w:customStyle="1" w:styleId="42">
    <w:name w:val="Основной текст (4)_"/>
    <w:link w:val="43"/>
    <w:locked/>
    <w:rsid w:val="00FF417B"/>
    <w:rPr>
      <w:rFonts w:cs="Times New Roman"/>
      <w:spacing w:val="10"/>
      <w:sz w:val="26"/>
      <w:shd w:val="clear" w:color="auto" w:fill="FFFFFF"/>
    </w:rPr>
  </w:style>
  <w:style w:type="paragraph" w:customStyle="1" w:styleId="43">
    <w:name w:val="Основной текст (4)"/>
    <w:basedOn w:val="a0"/>
    <w:link w:val="42"/>
    <w:rsid w:val="00FF417B"/>
    <w:pPr>
      <w:shd w:val="clear" w:color="auto" w:fill="FFFFFF"/>
      <w:spacing w:before="1560" w:after="120" w:line="240" w:lineRule="atLeast"/>
    </w:pPr>
    <w:rPr>
      <w:rFonts w:ascii="Times New Roman" w:eastAsia="DejaVu Sans" w:hAnsi="Times New Roman" w:cs="Times New Roman"/>
      <w:spacing w:val="10"/>
      <w:sz w:val="2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1315</Words>
  <Characters>7497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Форма: Положение об антикоррупционной политике в организации(Подготовлен для системы КонсультантПлюс, 2023)</vt:lpstr>
    </vt:vector>
  </TitlesOfParts>
  <Company>КонсультантПлюс Версия 4022.00.55</Company>
  <LinksUpToDate>false</LinksUpToDate>
  <CharactersWithSpaces>8795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Форма: Положение об антикоррупционной политике в организации(Подготовлен для системы КонсультантПлюс, 2023)</dc:title>
  <dc:creator>Юрист</dc:creator>
  <cp:lastModifiedBy>Юрист</cp:lastModifiedBy>
  <cp:revision>6</cp:revision>
  <cp:lastPrinted>2023-12-06T13:15:00Z</cp:lastPrinted>
  <dcterms:created xsi:type="dcterms:W3CDTF">2023-12-06T13:27:00Z</dcterms:created>
  <dcterms:modified xsi:type="dcterms:W3CDTF">2023-12-11T07:37:00Z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</vt:lpwstr>
  </property>
</Properties>
</file>