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91" w:rsidRDefault="00EC6691" w:rsidP="00EC6691">
      <w:pPr>
        <w:widowControl/>
        <w:shd w:val="clear" w:color="auto" w:fill="FFFFFF"/>
        <w:autoSpaceDE/>
        <w:autoSpaceDN/>
        <w:adjustRightInd/>
        <w:ind w:firstLine="0"/>
        <w:jc w:val="center"/>
        <w:rPr>
          <w:rFonts w:ascii="Times New Roman" w:hAnsi="Times New Roman"/>
          <w:b/>
          <w:sz w:val="28"/>
          <w:szCs w:val="28"/>
        </w:rPr>
      </w:pPr>
      <w:r w:rsidRPr="007D1222">
        <w:rPr>
          <w:rFonts w:ascii="Times New Roman" w:hAnsi="Times New Roman"/>
          <w:b/>
          <w:sz w:val="28"/>
          <w:szCs w:val="28"/>
        </w:rPr>
        <w:t>ТЕМА 4.</w:t>
      </w:r>
    </w:p>
    <w:p w:rsidR="00EC6691" w:rsidRDefault="00EC6691" w:rsidP="00EC6691">
      <w:pPr>
        <w:widowControl/>
        <w:shd w:val="clear" w:color="auto" w:fill="FFFFFF"/>
        <w:autoSpaceDE/>
        <w:autoSpaceDN/>
        <w:adjustRightInd/>
        <w:ind w:firstLine="709"/>
        <w:jc w:val="center"/>
        <w:rPr>
          <w:rFonts w:ascii="Times New Roman" w:hAnsi="Times New Roman"/>
          <w:b/>
          <w:sz w:val="28"/>
          <w:szCs w:val="28"/>
        </w:rPr>
      </w:pPr>
      <w:r w:rsidRPr="007D1222">
        <w:rPr>
          <w:rFonts w:ascii="Times New Roman" w:hAnsi="Times New Roman"/>
          <w:b/>
          <w:sz w:val="28"/>
          <w:szCs w:val="28"/>
        </w:rPr>
        <w:t>АНТИКОРРУПЦИОННАЯ ЭКСПЕРТИЗА</w:t>
      </w:r>
    </w:p>
    <w:p w:rsidR="00EC6691" w:rsidRPr="007D1222" w:rsidRDefault="00EC6691" w:rsidP="00EC6691">
      <w:pPr>
        <w:widowControl/>
        <w:shd w:val="clear" w:color="auto" w:fill="FFFFFF"/>
        <w:autoSpaceDE/>
        <w:autoSpaceDN/>
        <w:adjustRightInd/>
        <w:ind w:firstLine="709"/>
        <w:jc w:val="center"/>
        <w:rPr>
          <w:rFonts w:ascii="Times New Roman" w:hAnsi="Times New Roman"/>
          <w:b/>
          <w:sz w:val="28"/>
          <w:szCs w:val="28"/>
        </w:rPr>
      </w:pPr>
    </w:p>
    <w:p w:rsidR="00EC6691" w:rsidRPr="0072562E" w:rsidRDefault="00EC6691" w:rsidP="00EC6691">
      <w:pPr>
        <w:pStyle w:val="a7"/>
        <w:shd w:val="clear" w:color="auto" w:fill="FFFFFF"/>
        <w:spacing w:before="0" w:beforeAutospacing="0" w:after="0" w:afterAutospacing="0"/>
        <w:ind w:firstLine="709"/>
        <w:jc w:val="both"/>
        <w:rPr>
          <w:sz w:val="28"/>
          <w:szCs w:val="28"/>
        </w:rPr>
      </w:pPr>
      <w:r w:rsidRPr="0072562E">
        <w:rPr>
          <w:sz w:val="28"/>
          <w:szCs w:val="28"/>
        </w:rPr>
        <w:t>Одной из мер, существующих, с 2008 года является антикоррупционная экспертиза нормативных правовых актов и их проектов. Она призвана стать одной из основных мер по профилактике коррупции.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коррупционных факторов и их последующего устранения установлены Федеральным законом от 17.07.2009 №172-ФЗ «Об антикоррупционной экспертизе нормативных правовых актов и проектов нормативных правовых актов». Этот закон устанавливает порядок проведения антикоррупционной экспертизы.</w:t>
      </w:r>
    </w:p>
    <w:p w:rsidR="00EC6691" w:rsidRPr="0072562E" w:rsidRDefault="00EC6691" w:rsidP="00EC6691">
      <w:pPr>
        <w:pStyle w:val="a7"/>
        <w:shd w:val="clear" w:color="auto" w:fill="FFFFFF"/>
        <w:spacing w:before="0" w:beforeAutospacing="0" w:after="0" w:afterAutospacing="0"/>
        <w:ind w:firstLine="709"/>
        <w:jc w:val="both"/>
        <w:rPr>
          <w:sz w:val="28"/>
          <w:szCs w:val="28"/>
        </w:rPr>
      </w:pPr>
      <w:r w:rsidRPr="0072562E">
        <w:rPr>
          <w:sz w:val="28"/>
          <w:szCs w:val="28"/>
        </w:rPr>
        <w:t xml:space="preserve">Антикоррупционная экспертиза – это вид правовой экспертизы, которая проводится с узкой специальной задачей по выявлению и описанию </w:t>
      </w:r>
      <w:proofErr w:type="spellStart"/>
      <w:r w:rsidRPr="0072562E">
        <w:rPr>
          <w:sz w:val="28"/>
          <w:szCs w:val="28"/>
        </w:rPr>
        <w:t>коррупциогенных</w:t>
      </w:r>
      <w:proofErr w:type="spellEnd"/>
      <w:r w:rsidRPr="0072562E">
        <w:rPr>
          <w:sz w:val="28"/>
          <w:szCs w:val="28"/>
        </w:rPr>
        <w:t xml:space="preserve"> факторов, относящихся к действующим правовым актам и их проектам; разработке рекомендаций, направленных на устранение или ограничение действия таких факторов. По ее результатам составляется самостоятельное экспертное заключение на предмет наличия </w:t>
      </w:r>
      <w:proofErr w:type="spellStart"/>
      <w:r w:rsidRPr="0072562E">
        <w:rPr>
          <w:sz w:val="28"/>
          <w:szCs w:val="28"/>
        </w:rPr>
        <w:t>коррупциогенных</w:t>
      </w:r>
      <w:proofErr w:type="spellEnd"/>
      <w:r w:rsidRPr="0072562E">
        <w:rPr>
          <w:sz w:val="28"/>
          <w:szCs w:val="28"/>
        </w:rPr>
        <w:t xml:space="preserve"> факторов. </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proofErr w:type="gramStart"/>
      <w:r w:rsidRPr="0072562E">
        <w:rPr>
          <w:rFonts w:ascii="Times New Roman" w:hAnsi="Times New Roman"/>
          <w:sz w:val="28"/>
          <w:szCs w:val="28"/>
        </w:rPr>
        <w:t xml:space="preserve">Целью проведения антикоррупционной экспертизы является устранение  из правовых актов </w:t>
      </w:r>
      <w:proofErr w:type="spellStart"/>
      <w:r w:rsidRPr="0072562E">
        <w:rPr>
          <w:rFonts w:ascii="Times New Roman" w:hAnsi="Times New Roman"/>
          <w:sz w:val="28"/>
          <w:szCs w:val="28"/>
        </w:rPr>
        <w:t>коррупциогенных</w:t>
      </w:r>
      <w:proofErr w:type="spellEnd"/>
      <w:r w:rsidRPr="0072562E">
        <w:rPr>
          <w:rFonts w:ascii="Times New Roman" w:hAnsi="Times New Roman"/>
          <w:sz w:val="28"/>
          <w:szCs w:val="28"/>
        </w:rPr>
        <w:t xml:space="preserve"> факторов - положений нормативных правовых актов (проектов нормативных правовых актов), устанавливающих  для </w:t>
      </w:r>
      <w:proofErr w:type="spellStart"/>
      <w:r w:rsidRPr="0072562E">
        <w:rPr>
          <w:rFonts w:ascii="Times New Roman" w:hAnsi="Times New Roman"/>
          <w:sz w:val="28"/>
          <w:szCs w:val="28"/>
        </w:rPr>
        <w:t>правоприменителя</w:t>
      </w:r>
      <w:proofErr w:type="spellEnd"/>
      <w:r w:rsidRPr="0072562E">
        <w:rPr>
          <w:rFonts w:ascii="Times New Roman" w:hAnsi="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w:t>
      </w:r>
      <w:proofErr w:type="gramEnd"/>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Антикоррупционная экспертиза проводится нижеуказанными органами.</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proofErr w:type="gramStart"/>
      <w:r w:rsidRPr="0072562E">
        <w:rPr>
          <w:rFonts w:ascii="Times New Roman" w:hAnsi="Times New Roman"/>
          <w:sz w:val="28"/>
          <w:szCs w:val="28"/>
        </w:rPr>
        <w:t>Органами прокуратуры - в отношении правовых актов, касающихся прав, свобод и обязанностей человека и гражданина; государственной и муниципальной собственности, государственной и муниципальной службы, </w:t>
      </w:r>
      <w:hyperlink r:id="rId5" w:history="1">
        <w:r w:rsidRPr="0072562E">
          <w:rPr>
            <w:rFonts w:ascii="Times New Roman" w:hAnsi="Times New Roman"/>
            <w:sz w:val="28"/>
            <w:szCs w:val="28"/>
          </w:rPr>
          <w:t>бюджетного</w:t>
        </w:r>
      </w:hyperlink>
      <w:r w:rsidRPr="0072562E">
        <w:rPr>
          <w:rFonts w:ascii="Times New Roman" w:hAnsi="Times New Roman"/>
          <w:sz w:val="28"/>
          <w:szCs w:val="28"/>
        </w:rPr>
        <w:t>, </w:t>
      </w:r>
      <w:hyperlink r:id="rId6" w:history="1">
        <w:r w:rsidRPr="0072562E">
          <w:rPr>
            <w:rFonts w:ascii="Times New Roman" w:hAnsi="Times New Roman"/>
            <w:sz w:val="28"/>
            <w:szCs w:val="28"/>
          </w:rPr>
          <w:t>налогового</w:t>
        </w:r>
      </w:hyperlink>
      <w:r w:rsidRPr="0072562E">
        <w:rPr>
          <w:rFonts w:ascii="Times New Roman" w:hAnsi="Times New Roman"/>
          <w:sz w:val="28"/>
          <w:szCs w:val="28"/>
        </w:rPr>
        <w:t>, </w:t>
      </w:r>
      <w:hyperlink r:id="rId7" w:history="1">
        <w:r w:rsidRPr="0072562E">
          <w:rPr>
            <w:rFonts w:ascii="Times New Roman" w:hAnsi="Times New Roman"/>
            <w:sz w:val="28"/>
            <w:szCs w:val="28"/>
          </w:rPr>
          <w:t>таможенного</w:t>
        </w:r>
      </w:hyperlink>
      <w:r w:rsidRPr="0072562E">
        <w:rPr>
          <w:rFonts w:ascii="Times New Roman" w:hAnsi="Times New Roman"/>
          <w:sz w:val="28"/>
          <w:szCs w:val="28"/>
        </w:rPr>
        <w:t>, </w:t>
      </w:r>
      <w:hyperlink r:id="rId8" w:history="1">
        <w:r w:rsidRPr="0072562E">
          <w:rPr>
            <w:rFonts w:ascii="Times New Roman" w:hAnsi="Times New Roman"/>
            <w:sz w:val="28"/>
            <w:szCs w:val="28"/>
          </w:rPr>
          <w:t>лесного</w:t>
        </w:r>
      </w:hyperlink>
      <w:r w:rsidRPr="0072562E">
        <w:rPr>
          <w:rFonts w:ascii="Times New Roman" w:hAnsi="Times New Roman"/>
          <w:sz w:val="28"/>
          <w:szCs w:val="28"/>
        </w:rPr>
        <w:t>, </w:t>
      </w:r>
      <w:hyperlink r:id="rId9" w:history="1">
        <w:r w:rsidRPr="0072562E">
          <w:rPr>
            <w:rFonts w:ascii="Times New Roman" w:hAnsi="Times New Roman"/>
            <w:sz w:val="28"/>
            <w:szCs w:val="28"/>
          </w:rPr>
          <w:t>водного</w:t>
        </w:r>
      </w:hyperlink>
      <w:r w:rsidRPr="0072562E">
        <w:rPr>
          <w:rFonts w:ascii="Times New Roman" w:hAnsi="Times New Roman"/>
          <w:sz w:val="28"/>
          <w:szCs w:val="28"/>
        </w:rPr>
        <w:t>, </w:t>
      </w:r>
      <w:hyperlink r:id="rId10" w:history="1">
        <w:r w:rsidRPr="0072562E">
          <w:rPr>
            <w:rFonts w:ascii="Times New Roman" w:hAnsi="Times New Roman"/>
            <w:sz w:val="28"/>
            <w:szCs w:val="28"/>
          </w:rPr>
          <w:t>земельного</w:t>
        </w:r>
      </w:hyperlink>
      <w:r w:rsidRPr="0072562E">
        <w:rPr>
          <w:rFonts w:ascii="Times New Roman" w:hAnsi="Times New Roman"/>
          <w:sz w:val="28"/>
          <w:szCs w:val="28"/>
        </w:rPr>
        <w:t>, </w:t>
      </w:r>
      <w:hyperlink r:id="rId11" w:history="1">
        <w:r w:rsidRPr="0072562E">
          <w:rPr>
            <w:rFonts w:ascii="Times New Roman" w:hAnsi="Times New Roman"/>
            <w:sz w:val="28"/>
            <w:szCs w:val="28"/>
          </w:rPr>
          <w:t>градостроительного</w:t>
        </w:r>
      </w:hyperlink>
      <w:r w:rsidRPr="0072562E">
        <w:rPr>
          <w:rFonts w:ascii="Times New Roman" w:hAnsi="Times New Roman"/>
          <w:sz w:val="28"/>
          <w:szCs w:val="28"/>
        </w:rPr>
        <w:t>, </w:t>
      </w:r>
      <w:hyperlink r:id="rId12" w:history="1">
        <w:r w:rsidRPr="0072562E">
          <w:rPr>
            <w:rFonts w:ascii="Times New Roman" w:hAnsi="Times New Roman"/>
            <w:sz w:val="28"/>
            <w:szCs w:val="28"/>
          </w:rPr>
          <w:t>природоохранного</w:t>
        </w:r>
      </w:hyperlink>
      <w:r w:rsidRPr="0072562E">
        <w:rPr>
          <w:rFonts w:ascii="Times New Roman" w:hAnsi="Times New Roman"/>
          <w:sz w:val="28"/>
          <w:szCs w:val="28"/>
        </w:rPr>
        <w:t> законодательства, </w:t>
      </w:r>
      <w:hyperlink r:id="rId13" w:history="1">
        <w:r w:rsidRPr="0072562E">
          <w:rPr>
            <w:rFonts w:ascii="Times New Roman" w:hAnsi="Times New Roman"/>
            <w:sz w:val="28"/>
            <w:szCs w:val="28"/>
          </w:rPr>
          <w:t>законодательства</w:t>
        </w:r>
      </w:hyperlink>
      <w:r w:rsidRPr="0072562E">
        <w:rPr>
          <w:rFonts w:ascii="Times New Roman" w:hAnsi="Times New Roman"/>
          <w:sz w:val="28"/>
          <w:szCs w:val="28"/>
        </w:rPr>
        <w:t>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roofErr w:type="gramEnd"/>
      <w:r w:rsidRPr="0072562E">
        <w:rPr>
          <w:rFonts w:ascii="Times New Roman" w:hAnsi="Times New Roman"/>
          <w:sz w:val="28"/>
          <w:szCs w:val="28"/>
        </w:rPr>
        <w:t xml:space="preserve">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proofErr w:type="gramStart"/>
      <w:r w:rsidRPr="0072562E">
        <w:rPr>
          <w:rFonts w:ascii="Times New Roman" w:hAnsi="Times New Roman"/>
          <w:sz w:val="28"/>
          <w:szCs w:val="28"/>
        </w:rPr>
        <w:t xml:space="preserve">Органами юстиции - в отношении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w:t>
      </w:r>
      <w:r w:rsidRPr="0072562E">
        <w:rPr>
          <w:rFonts w:ascii="Times New Roman" w:hAnsi="Times New Roman"/>
          <w:sz w:val="28"/>
          <w:szCs w:val="28"/>
        </w:rPr>
        <w:lastRenderedPageBreak/>
        <w:t>органами и организациями, проектов концепций и технических заданий на разработку проектов федеральных законов, проектов поправок Правительства Российской Федерации к проектам федеральных законов, подготовленных  федеральными органами исполнительной власти, иными государственными органами и организациями - при проведении их</w:t>
      </w:r>
      <w:proofErr w:type="gramEnd"/>
      <w:r w:rsidRPr="0072562E">
        <w:rPr>
          <w:rFonts w:ascii="Times New Roman" w:hAnsi="Times New Roman"/>
          <w:sz w:val="28"/>
          <w:szCs w:val="28"/>
        </w:rPr>
        <w:t xml:space="preserve"> правовой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 нормативных правовых актов субъектов Российской Федерации - при мониторинге их применения и при внесении сведений в федеральный регистр нормативных правовых актов субъектов Российской Федерации.</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Органами, организациями, их должностными лицами - в отношении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Институты гражданского общества и граждане могут в </w:t>
      </w:r>
      <w:hyperlink r:id="rId14" w:history="1">
        <w:r w:rsidRPr="0072562E">
          <w:rPr>
            <w:rFonts w:ascii="Times New Roman" w:hAnsi="Times New Roman"/>
            <w:sz w:val="28"/>
            <w:szCs w:val="28"/>
          </w:rPr>
          <w:t>порядке</w:t>
        </w:r>
      </w:hyperlink>
      <w:r w:rsidRPr="0072562E">
        <w:rPr>
          <w:rFonts w:ascii="Times New Roman" w:hAnsi="Times New Roman"/>
          <w:sz w:val="28"/>
          <w:szCs w:val="28"/>
        </w:rPr>
        <w:t>, предусмотренном нормативными правовыми актами Российской Федерации, за счет собственных сре</w:t>
      </w:r>
      <w:proofErr w:type="gramStart"/>
      <w:r w:rsidRPr="0072562E">
        <w:rPr>
          <w:rFonts w:ascii="Times New Roman" w:hAnsi="Times New Roman"/>
          <w:sz w:val="28"/>
          <w:szCs w:val="28"/>
        </w:rPr>
        <w:t>дств пр</w:t>
      </w:r>
      <w:proofErr w:type="gramEnd"/>
      <w:r w:rsidRPr="0072562E">
        <w:rPr>
          <w:rFonts w:ascii="Times New Roman" w:hAnsi="Times New Roman"/>
          <w:sz w:val="28"/>
          <w:szCs w:val="28"/>
        </w:rPr>
        <w:t>оводить независимую антикоррупционную экспертизу нормативных правовых актов (проектов нормативных правовых актов).</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Требования прокурора об изменении нормативного правового акта и заключения иных органов (лиц), уполномоченных на проведение антикоррупционной экспертизы, подлежат обязательному рассмотрению </w:t>
      </w:r>
      <w:proofErr w:type="gramStart"/>
      <w:r w:rsidRPr="0072562E">
        <w:rPr>
          <w:rFonts w:ascii="Times New Roman" w:hAnsi="Times New Roman"/>
          <w:sz w:val="28"/>
          <w:szCs w:val="28"/>
        </w:rPr>
        <w:t>соответствующими</w:t>
      </w:r>
      <w:proofErr w:type="gramEnd"/>
      <w:r w:rsidRPr="0072562E">
        <w:rPr>
          <w:rFonts w:ascii="Times New Roman" w:hAnsi="Times New Roman"/>
          <w:sz w:val="28"/>
          <w:szCs w:val="28"/>
        </w:rPr>
        <w:t xml:space="preserve"> органом, организацией или должностным лицом.</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Антикоррупционная экспертиза проводится в соответствии с Федеральным законом от 17.07.2009 № 172-ФЗ «Об антикоррупционной экспертизе нормативных правовых актов и проектов нормативных правовых актов» в </w:t>
      </w:r>
      <w:hyperlink r:id="rId15" w:history="1">
        <w:r w:rsidRPr="0072562E">
          <w:rPr>
            <w:rFonts w:ascii="Times New Roman" w:hAnsi="Times New Roman"/>
            <w:sz w:val="28"/>
            <w:szCs w:val="28"/>
          </w:rPr>
          <w:t>порядке</w:t>
        </w:r>
      </w:hyperlink>
      <w:r w:rsidRPr="0072562E">
        <w:rPr>
          <w:rFonts w:ascii="Times New Roman" w:hAnsi="Times New Roman"/>
          <w:sz w:val="28"/>
          <w:szCs w:val="28"/>
        </w:rPr>
        <w:t> и согласно </w:t>
      </w:r>
      <w:hyperlink r:id="rId16" w:history="1">
        <w:r w:rsidRPr="0072562E">
          <w:rPr>
            <w:rFonts w:ascii="Times New Roman" w:hAnsi="Times New Roman"/>
            <w:sz w:val="28"/>
            <w:szCs w:val="28"/>
          </w:rPr>
          <w:t>методике</w:t>
        </w:r>
      </w:hyperlink>
      <w:r w:rsidRPr="0072562E">
        <w:rPr>
          <w:rFonts w:ascii="Times New Roman" w:hAnsi="Times New Roman"/>
          <w:sz w:val="28"/>
          <w:szCs w:val="28"/>
        </w:rPr>
        <w:t>, определенных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bCs/>
          <w:sz w:val="28"/>
          <w:szCs w:val="28"/>
        </w:rPr>
        <w:t>Принципы антикоррупционной экспертизы</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1) обязательность проведения антикоррупционной экспертизы проектов НПА.</w:t>
      </w:r>
      <w:r w:rsidRPr="0072562E">
        <w:rPr>
          <w:rFonts w:ascii="Times New Roman" w:hAnsi="Times New Roman"/>
          <w:sz w:val="28"/>
          <w:szCs w:val="28"/>
        </w:rPr>
        <w:br/>
        <w:t>2) оценка нормативного правового акта во взаимосвязи с другими НПА;</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3) обоснованность, объективность и </w:t>
      </w:r>
      <w:proofErr w:type="spellStart"/>
      <w:r w:rsidRPr="0072562E">
        <w:rPr>
          <w:rFonts w:ascii="Times New Roman" w:hAnsi="Times New Roman"/>
          <w:sz w:val="28"/>
          <w:szCs w:val="28"/>
        </w:rPr>
        <w:t>проверяемость</w:t>
      </w:r>
      <w:proofErr w:type="spellEnd"/>
      <w:r w:rsidRPr="0072562E">
        <w:rPr>
          <w:rFonts w:ascii="Times New Roman" w:hAnsi="Times New Roman"/>
          <w:sz w:val="28"/>
          <w:szCs w:val="28"/>
        </w:rPr>
        <w:t xml:space="preserve"> результатов антикоррупционной экспертизы НПА и проектов НПА;</w:t>
      </w:r>
      <w:r w:rsidRPr="0072562E">
        <w:rPr>
          <w:rFonts w:ascii="Times New Roman" w:hAnsi="Times New Roman"/>
          <w:sz w:val="28"/>
          <w:szCs w:val="28"/>
        </w:rPr>
        <w:br/>
        <w:t>4) компетентность лиц, проводящих антикоррупционную экспертизу НПА (их проектов);</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5) сотрудничество ФОИВ, иных государственных органов и организаций, ОГВ субъектов РФ, ОМС, а также их должностных лиц с </w:t>
      </w:r>
      <w:r w:rsidRPr="0072562E">
        <w:rPr>
          <w:rFonts w:ascii="Times New Roman" w:hAnsi="Times New Roman"/>
          <w:sz w:val="28"/>
          <w:szCs w:val="28"/>
        </w:rPr>
        <w:lastRenderedPageBreak/>
        <w:t>институтами гражданского общества при проведении антикоррупционной экспертизы НПА.</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Основные субъекты, участвующие в оценке </w:t>
      </w:r>
      <w:proofErr w:type="spellStart"/>
      <w:r w:rsidRPr="0072562E">
        <w:rPr>
          <w:rFonts w:ascii="Times New Roman" w:hAnsi="Times New Roman"/>
          <w:sz w:val="28"/>
          <w:szCs w:val="28"/>
        </w:rPr>
        <w:t>коррупциогенности</w:t>
      </w:r>
      <w:proofErr w:type="spellEnd"/>
      <w:r w:rsidRPr="0072562E">
        <w:rPr>
          <w:rFonts w:ascii="Times New Roman" w:hAnsi="Times New Roman"/>
          <w:sz w:val="28"/>
          <w:szCs w:val="28"/>
        </w:rPr>
        <w:t xml:space="preserve"> российского законодательства закреплены в ст. 3 172-го ФЗ.</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1) Прокуроры, которые в ходе осуществления своих полномочий проводят антикоррупционную экспертизу нормативных правовых актов органов, организаций, их должностных лиц по вопросам, касающимся:</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прав, свобод и обязанностей человека и гражданина;</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proofErr w:type="gramStart"/>
      <w:r w:rsidRPr="0072562E">
        <w:rPr>
          <w:rFonts w:ascii="Times New Roman" w:hAnsi="Times New Roman"/>
          <w:sz w:val="28"/>
          <w:szCs w:val="28"/>
        </w:rPr>
        <w:t>–государственной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roofErr w:type="gramEnd"/>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Так, прокурорами в 2008 г. выявлено около 12,5 тыс. нормативных правовых актов органов государственной власти и местного самоуправления, содержащих коррупционные факторы. В этих актах содержалось почти 14 тыс. </w:t>
      </w:r>
      <w:proofErr w:type="spellStart"/>
      <w:r w:rsidRPr="0072562E">
        <w:rPr>
          <w:rFonts w:ascii="Times New Roman" w:hAnsi="Times New Roman"/>
          <w:sz w:val="28"/>
          <w:szCs w:val="28"/>
        </w:rPr>
        <w:t>коррупциогенных</w:t>
      </w:r>
      <w:proofErr w:type="spellEnd"/>
      <w:r w:rsidRPr="0072562E">
        <w:rPr>
          <w:rFonts w:ascii="Times New Roman" w:hAnsi="Times New Roman"/>
          <w:sz w:val="28"/>
          <w:szCs w:val="28"/>
        </w:rPr>
        <w:t xml:space="preserve"> норм, притом свыше 9,5 тыс. нормативных документов вообще противоречили федеральному законодательству (см.: Доклад Генерального прокурора РФ на заседании Совета Федерации Федерального Собрания РФ. 13 мая 2009 г.). В продолжение этой практики органов прокуратуры в первой половине 2009 г. активность деятельности органов прокуратуры по противодействию коррупционным проявлениям при анализе нарушений законодательства о противодействии коррупции нашла свое выражение в выявлении более 173 тыс. таких нарушений. На незаконные правовые акты, содержащие коррупционные факторы, было принесено 29,4 тыс. протестов, внесено 31,6 тыс. представлений, по результатам которых 19 тыс. должностных лиц были наказаны в дисциплинарном порядке.</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2) Минюст проводит антикоррупционную экспертизу:</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проектов ФЗ, проектов указов ПРФ и проектов постановлений Правительства РФ, разрабатываемых ФОИВ, иными государственными органами и организациями, – при проведении их правовой экспертизы;</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проектов концепций и технических заданий на разработку проектов ФЗ, проектов официальных отзывов и заключений на проекты ФЗ – при проведении их правовой экспертизы;</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 НПА ФОИВ,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w:t>
      </w:r>
      <w:r w:rsidRPr="0072562E">
        <w:rPr>
          <w:rFonts w:ascii="Times New Roman" w:hAnsi="Times New Roman"/>
          <w:sz w:val="28"/>
          <w:szCs w:val="28"/>
        </w:rPr>
        <w:lastRenderedPageBreak/>
        <w:t>муниципальных правовых актов о внесении изменений в уставы муниципальных образований – при их государственной регистрации;</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НПА субъектов РФ – при мониторинге их применения.</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3) Органы, организации, их должностные лица проводят антикоррупционную экспертизу принятых ими НПА при проведении их правовой экспертизы и мониторинге их применения. А в случае обнаружения в них </w:t>
      </w:r>
      <w:proofErr w:type="spellStart"/>
      <w:r w:rsidRPr="0072562E">
        <w:rPr>
          <w:rFonts w:ascii="Times New Roman" w:hAnsi="Times New Roman"/>
          <w:sz w:val="28"/>
          <w:szCs w:val="28"/>
        </w:rPr>
        <w:t>коррупциогенных</w:t>
      </w:r>
      <w:proofErr w:type="spellEnd"/>
      <w:r w:rsidRPr="0072562E">
        <w:rPr>
          <w:rFonts w:ascii="Times New Roman" w:hAnsi="Times New Roman"/>
          <w:sz w:val="28"/>
          <w:szCs w:val="28"/>
        </w:rPr>
        <w:t xml:space="preserve"> факторов, принятие мер, по устранению которых не относится к их компетенции, информируют об этом органы прокуратуры.</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Иными словами, система органов прокуратуры осуществляет антикоррупционную экспертизу действующих актов, Минюст – экспертизу проектов нормативных актов федерального законодательства и действующих актов субъектов РФ и уставов муниципальных образований, все остальные субъекты правотворчества проводят антикоррупционную экспертизу своих собственных решений.</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По итогам проведения экспертизы прокурор может составить мотивированное требование об изменении НПА, которое подлежит обязательному рассмотрению соответствующими органом не позднее чем в десятидневный срок «и учитывается в установленном порядке». Также в установленном порядке требование прокурора может быть обжаловано. Обязанность исполнения требований прокурора вытекает из ст. 6 ФЗ от 17 января 1992 г. № 2202-1 «О прокуратуре РФ». Неисполнение требований прокурора может повлечь за собой, в частности, наложение административного штрафа на должностных лиц в размере от двух до трех тысяч рублей (ст. 17.7 Кодекса об административных правонарушениях).</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Что касается позиции Минюста по </w:t>
      </w:r>
      <w:proofErr w:type="spellStart"/>
      <w:r w:rsidRPr="0072562E">
        <w:rPr>
          <w:rFonts w:ascii="Times New Roman" w:hAnsi="Times New Roman"/>
          <w:sz w:val="28"/>
          <w:szCs w:val="28"/>
        </w:rPr>
        <w:t>коррупциогенности</w:t>
      </w:r>
      <w:proofErr w:type="spellEnd"/>
      <w:r w:rsidRPr="0072562E">
        <w:rPr>
          <w:rFonts w:ascii="Times New Roman" w:hAnsi="Times New Roman"/>
          <w:sz w:val="28"/>
          <w:szCs w:val="28"/>
        </w:rPr>
        <w:t xml:space="preserve"> действующих актов субъектов РФ, то она отражается в обязательном к рассмотрению заключении, носящем, правда, рекомендательный характер.</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4) Кроме того, закон закрепляет возможность проведения независимой антикоррупционной экспертизы НПА и их проектов. Постановлением Правительства № 195 закреплены такие субъекты Э., как независимые аккредитованные Министерством юстиции юридические и физические лица. Порядок аккредитации регулируется Приказом Минюста от 31 марта 2009 г. № 92. Основными требованиями и условиями для проведения аккредитации независимых экспертов являются:</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для физических лиц – наличие высшего профессионального образования и стажа работы по специальности не менее 5 лет.</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 </w:t>
      </w:r>
      <w:proofErr w:type="gramStart"/>
      <w:r w:rsidRPr="0072562E">
        <w:rPr>
          <w:rFonts w:ascii="Times New Roman" w:hAnsi="Times New Roman"/>
          <w:sz w:val="28"/>
          <w:szCs w:val="28"/>
        </w:rPr>
        <w:t>д</w:t>
      </w:r>
      <w:proofErr w:type="gramEnd"/>
      <w:r w:rsidRPr="0072562E">
        <w:rPr>
          <w:rFonts w:ascii="Times New Roman" w:hAnsi="Times New Roman"/>
          <w:sz w:val="28"/>
          <w:szCs w:val="28"/>
        </w:rPr>
        <w:t>ля юридических лиц – наличие в штате не менее 3 сотрудников, отвечающих требованиям, предъявленным к физическим лицам.</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Независимыми экспертами не могут являться юридические лица и физические лица, принимавшие участие в подготовке проекта документа, а также организации и учреждения, находящиеся в ведении федерального органа исполнительной власти – разработчика проекта документа.</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Свидетельство об аккредитации выдается на 5 лет.</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Аккредитация может быть аннулирована Минюстом РФ в случаях:</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а) добровольного отказа независимого эксперта от аккредитации;</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lastRenderedPageBreak/>
        <w:t xml:space="preserve">б) </w:t>
      </w:r>
      <w:proofErr w:type="spellStart"/>
      <w:r w:rsidRPr="0072562E">
        <w:rPr>
          <w:rFonts w:ascii="Times New Roman" w:hAnsi="Times New Roman"/>
          <w:sz w:val="28"/>
          <w:szCs w:val="28"/>
        </w:rPr>
        <w:t>непроведения</w:t>
      </w:r>
      <w:proofErr w:type="spellEnd"/>
      <w:r w:rsidRPr="0072562E">
        <w:rPr>
          <w:rFonts w:ascii="Times New Roman" w:hAnsi="Times New Roman"/>
          <w:sz w:val="28"/>
          <w:szCs w:val="28"/>
        </w:rPr>
        <w:t xml:space="preserve"> независимой экспертизы на </w:t>
      </w:r>
      <w:proofErr w:type="spellStart"/>
      <w:r w:rsidRPr="0072562E">
        <w:rPr>
          <w:rFonts w:ascii="Times New Roman" w:hAnsi="Times New Roman"/>
          <w:sz w:val="28"/>
          <w:szCs w:val="28"/>
        </w:rPr>
        <w:t>коррупциогенность</w:t>
      </w:r>
      <w:proofErr w:type="spellEnd"/>
      <w:r w:rsidRPr="0072562E">
        <w:rPr>
          <w:rFonts w:ascii="Times New Roman" w:hAnsi="Times New Roman"/>
          <w:sz w:val="28"/>
          <w:szCs w:val="28"/>
        </w:rPr>
        <w:t xml:space="preserve"> более 2 лет.</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proofErr w:type="gramStart"/>
      <w:r w:rsidRPr="0072562E">
        <w:rPr>
          <w:rFonts w:ascii="Times New Roman" w:hAnsi="Times New Roman"/>
          <w:sz w:val="28"/>
          <w:szCs w:val="28"/>
        </w:rPr>
        <w:t>Для проведения независимой антикоррупционной Э. ФОИВ, разрабатывающий НПА размещает на своем официальном сайте проект данного акта и устанавливает срок для его независимой Э. (который не должен быть меньше, чем установленный для рассмотрения иными органами).</w:t>
      </w:r>
      <w:proofErr w:type="gramEnd"/>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Не проводится </w:t>
      </w:r>
      <w:proofErr w:type="gramStart"/>
      <w:r w:rsidRPr="0072562E">
        <w:rPr>
          <w:rFonts w:ascii="Times New Roman" w:hAnsi="Times New Roman"/>
          <w:sz w:val="28"/>
          <w:szCs w:val="28"/>
        </w:rPr>
        <w:t>независимая</w:t>
      </w:r>
      <w:proofErr w:type="gramEnd"/>
      <w:r w:rsidRPr="0072562E">
        <w:rPr>
          <w:rFonts w:ascii="Times New Roman" w:hAnsi="Times New Roman"/>
          <w:sz w:val="28"/>
          <w:szCs w:val="28"/>
        </w:rPr>
        <w:t xml:space="preserve"> Э. на </w:t>
      </w:r>
      <w:proofErr w:type="spellStart"/>
      <w:r w:rsidRPr="0072562E">
        <w:rPr>
          <w:rFonts w:ascii="Times New Roman" w:hAnsi="Times New Roman"/>
          <w:sz w:val="28"/>
          <w:szCs w:val="28"/>
        </w:rPr>
        <w:t>коррупциогенность</w:t>
      </w:r>
      <w:proofErr w:type="spellEnd"/>
      <w:r w:rsidRPr="0072562E">
        <w:rPr>
          <w:rFonts w:ascii="Times New Roman" w:hAnsi="Times New Roman"/>
          <w:sz w:val="28"/>
          <w:szCs w:val="28"/>
        </w:rPr>
        <w:t xml:space="preserve"> в отношении проектов документов, содержащих сведения, составляющие государственную тайну, или сведения конфиденциального характера.</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По результатам независимой антикоррупционной экспертизы составляется заключение, которое носит рекомендательный характер и подлежит обязательному рассмотрению органом, организацией или должностным лицом, которым оно направлено, в 30 </w:t>
      </w:r>
      <w:proofErr w:type="spellStart"/>
      <w:r w:rsidRPr="0072562E">
        <w:rPr>
          <w:rFonts w:ascii="Times New Roman" w:hAnsi="Times New Roman"/>
          <w:sz w:val="28"/>
          <w:szCs w:val="28"/>
        </w:rPr>
        <w:t>дневный</w:t>
      </w:r>
      <w:proofErr w:type="spellEnd"/>
      <w:r w:rsidRPr="0072562E">
        <w:rPr>
          <w:rFonts w:ascii="Times New Roman" w:hAnsi="Times New Roman"/>
          <w:sz w:val="28"/>
          <w:szCs w:val="28"/>
        </w:rPr>
        <w:t xml:space="preserve"> срок со дня его получения.</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72562E">
        <w:rPr>
          <w:rFonts w:ascii="Times New Roman" w:hAnsi="Times New Roman"/>
          <w:sz w:val="28"/>
          <w:szCs w:val="28"/>
        </w:rPr>
        <w:t>коррупциогенных</w:t>
      </w:r>
      <w:proofErr w:type="spellEnd"/>
      <w:r w:rsidRPr="0072562E">
        <w:rPr>
          <w:rFonts w:ascii="Times New Roman" w:hAnsi="Times New Roman"/>
          <w:sz w:val="28"/>
          <w:szCs w:val="28"/>
        </w:rPr>
        <w:t xml:space="preserve"> факторов.</w:t>
      </w:r>
    </w:p>
    <w:p w:rsidR="00EC6691" w:rsidRPr="0072562E" w:rsidRDefault="00EC6691" w:rsidP="00EC6691">
      <w:pPr>
        <w:widowControl/>
        <w:shd w:val="clear" w:color="auto" w:fill="FFFFFF"/>
        <w:autoSpaceDE/>
        <w:autoSpaceDN/>
        <w:adjustRightInd/>
        <w:ind w:firstLine="709"/>
        <w:rPr>
          <w:rFonts w:ascii="Times New Roman" w:hAnsi="Times New Roman"/>
          <w:sz w:val="28"/>
          <w:szCs w:val="28"/>
        </w:rPr>
      </w:pPr>
      <w:r w:rsidRPr="0072562E">
        <w:rPr>
          <w:rFonts w:ascii="Times New Roman" w:hAnsi="Times New Roman"/>
          <w:sz w:val="28"/>
          <w:szCs w:val="28"/>
        </w:rPr>
        <w:t xml:space="preserve">С июня 2009 г. Минюст РФ проводит аккредитацию организаций и физических лиц в качестве независимых экспертов, уполномоченных на проведение экспертизы НПА на </w:t>
      </w:r>
      <w:proofErr w:type="spellStart"/>
      <w:r w:rsidRPr="0072562E">
        <w:rPr>
          <w:rFonts w:ascii="Times New Roman" w:hAnsi="Times New Roman"/>
          <w:sz w:val="28"/>
          <w:szCs w:val="28"/>
        </w:rPr>
        <w:t>коррупциогенность</w:t>
      </w:r>
      <w:proofErr w:type="spellEnd"/>
      <w:r w:rsidRPr="0072562E">
        <w:rPr>
          <w:rFonts w:ascii="Times New Roman" w:hAnsi="Times New Roman"/>
          <w:sz w:val="28"/>
          <w:szCs w:val="28"/>
        </w:rPr>
        <w:t>. По официальным данным, в России было аккредитовано в качестве независимых экспертов 482 физических лица и 68 юридических лиц (сайт Минюста).</w:t>
      </w:r>
    </w:p>
    <w:p w:rsidR="00EC6691" w:rsidRPr="00645753" w:rsidRDefault="00EC6691" w:rsidP="00EC6691">
      <w:pPr>
        <w:widowControl/>
        <w:shd w:val="clear" w:color="auto" w:fill="FFFFFF"/>
        <w:autoSpaceDE/>
        <w:autoSpaceDN/>
        <w:adjustRightInd/>
        <w:ind w:firstLine="709"/>
        <w:rPr>
          <w:rFonts w:ascii="Times New Roman" w:hAnsi="Times New Roman"/>
          <w:b/>
          <w:sz w:val="28"/>
          <w:szCs w:val="28"/>
        </w:rPr>
      </w:pPr>
    </w:p>
    <w:p w:rsidR="0098198A" w:rsidRDefault="0098198A">
      <w:bookmarkStart w:id="0" w:name="_GoBack"/>
      <w:bookmarkEnd w:id="0"/>
    </w:p>
    <w:sectPr w:rsidR="0098198A" w:rsidSect="00A9032B">
      <w:pgSz w:w="11907" w:h="16840" w:code="9"/>
      <w:pgMar w:top="1134" w:right="850" w:bottom="1134" w:left="1701"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F8"/>
    <w:rsid w:val="005B74F8"/>
    <w:rsid w:val="0098198A"/>
    <w:rsid w:val="00E9628B"/>
    <w:rsid w:val="00EC6691"/>
    <w:rsid w:val="00F5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91"/>
    <w:pPr>
      <w:widowControl w:val="0"/>
      <w:autoSpaceDE w:val="0"/>
      <w:autoSpaceDN w:val="0"/>
      <w:adjustRightInd w:val="0"/>
      <w:ind w:firstLine="720"/>
      <w:jc w:val="both"/>
    </w:pPr>
    <w:rPr>
      <w:rFonts w:ascii="Arial" w:hAnsi="Arial"/>
      <w:sz w:val="24"/>
      <w:szCs w:val="24"/>
      <w:lang w:eastAsia="ru-RU"/>
    </w:rPr>
  </w:style>
  <w:style w:type="paragraph" w:styleId="1">
    <w:name w:val="heading 1"/>
    <w:basedOn w:val="a"/>
    <w:next w:val="a"/>
    <w:link w:val="10"/>
    <w:uiPriority w:val="99"/>
    <w:qFormat/>
    <w:rsid w:val="00F5739E"/>
    <w:pPr>
      <w:keepNext/>
      <w:widowControl/>
      <w:autoSpaceDE/>
      <w:autoSpaceDN/>
      <w:adjustRightInd/>
      <w:ind w:firstLine="0"/>
      <w:jc w:val="center"/>
      <w:outlineLvl w:val="0"/>
    </w:pPr>
    <w:rPr>
      <w:rFonts w:ascii="Cambria" w:hAnsi="Cambria"/>
      <w:b/>
      <w:bCs/>
      <w:kern w:val="32"/>
      <w:sz w:val="32"/>
      <w:szCs w:val="32"/>
      <w:lang w:eastAsia="en-US"/>
    </w:rPr>
  </w:style>
  <w:style w:type="paragraph" w:styleId="2">
    <w:name w:val="heading 2"/>
    <w:basedOn w:val="a"/>
    <w:next w:val="a"/>
    <w:link w:val="20"/>
    <w:uiPriority w:val="99"/>
    <w:qFormat/>
    <w:rsid w:val="00F5739E"/>
    <w:pPr>
      <w:keepNext/>
      <w:widowControl/>
      <w:autoSpaceDE/>
      <w:autoSpaceDN/>
      <w:adjustRightInd/>
      <w:spacing w:before="240" w:after="60"/>
      <w:ind w:firstLine="0"/>
      <w:jc w:val="left"/>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39E"/>
    <w:rPr>
      <w:rFonts w:ascii="Cambria" w:hAnsi="Cambria"/>
      <w:b/>
      <w:bCs/>
      <w:kern w:val="32"/>
      <w:sz w:val="32"/>
      <w:szCs w:val="32"/>
    </w:rPr>
  </w:style>
  <w:style w:type="character" w:customStyle="1" w:styleId="20">
    <w:name w:val="Заголовок 2 Знак"/>
    <w:basedOn w:val="a0"/>
    <w:link w:val="2"/>
    <w:uiPriority w:val="99"/>
    <w:rsid w:val="00F5739E"/>
    <w:rPr>
      <w:rFonts w:ascii="Cambria" w:hAnsi="Cambria"/>
      <w:b/>
      <w:bCs/>
      <w:i/>
      <w:iCs/>
      <w:sz w:val="28"/>
      <w:szCs w:val="28"/>
    </w:rPr>
  </w:style>
  <w:style w:type="paragraph" w:styleId="a3">
    <w:name w:val="Title"/>
    <w:basedOn w:val="a"/>
    <w:link w:val="a4"/>
    <w:uiPriority w:val="99"/>
    <w:qFormat/>
    <w:rsid w:val="00F5739E"/>
    <w:pPr>
      <w:widowControl/>
      <w:autoSpaceDE/>
      <w:autoSpaceDN/>
      <w:adjustRightInd/>
      <w:ind w:firstLine="0"/>
      <w:jc w:val="center"/>
    </w:pPr>
    <w:rPr>
      <w:rFonts w:ascii="Cambria" w:hAnsi="Cambria"/>
      <w:b/>
      <w:bCs/>
      <w:kern w:val="28"/>
      <w:sz w:val="32"/>
      <w:szCs w:val="32"/>
      <w:lang w:eastAsia="en-US"/>
    </w:rPr>
  </w:style>
  <w:style w:type="character" w:customStyle="1" w:styleId="a4">
    <w:name w:val="Название Знак"/>
    <w:basedOn w:val="a0"/>
    <w:link w:val="a3"/>
    <w:uiPriority w:val="99"/>
    <w:rsid w:val="00F5739E"/>
    <w:rPr>
      <w:rFonts w:ascii="Cambria" w:hAnsi="Cambria"/>
      <w:b/>
      <w:bCs/>
      <w:kern w:val="28"/>
      <w:sz w:val="32"/>
      <w:szCs w:val="32"/>
    </w:rPr>
  </w:style>
  <w:style w:type="character" w:styleId="a5">
    <w:name w:val="Strong"/>
    <w:basedOn w:val="a0"/>
    <w:uiPriority w:val="99"/>
    <w:qFormat/>
    <w:rsid w:val="00F5739E"/>
    <w:rPr>
      <w:rFonts w:cs="Times New Roman"/>
      <w:b/>
      <w:bCs/>
    </w:rPr>
  </w:style>
  <w:style w:type="paragraph" w:styleId="a6">
    <w:name w:val="List Paragraph"/>
    <w:basedOn w:val="a"/>
    <w:uiPriority w:val="99"/>
    <w:qFormat/>
    <w:rsid w:val="00F5739E"/>
    <w:pPr>
      <w:widowControl/>
      <w:autoSpaceDE/>
      <w:autoSpaceDN/>
      <w:adjustRightInd/>
      <w:ind w:left="720" w:firstLine="0"/>
      <w:contextualSpacing/>
      <w:jc w:val="left"/>
    </w:pPr>
    <w:rPr>
      <w:rFonts w:ascii="Times New Roman" w:hAnsi="Times New Roman"/>
      <w:lang w:eastAsia="en-US"/>
    </w:rPr>
  </w:style>
  <w:style w:type="paragraph" w:styleId="a7">
    <w:name w:val="Normal (Web)"/>
    <w:basedOn w:val="a"/>
    <w:uiPriority w:val="99"/>
    <w:rsid w:val="00EC6691"/>
    <w:pPr>
      <w:widowControl/>
      <w:autoSpaceDE/>
      <w:autoSpaceDN/>
      <w:adjustRightInd/>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91"/>
    <w:pPr>
      <w:widowControl w:val="0"/>
      <w:autoSpaceDE w:val="0"/>
      <w:autoSpaceDN w:val="0"/>
      <w:adjustRightInd w:val="0"/>
      <w:ind w:firstLine="720"/>
      <w:jc w:val="both"/>
    </w:pPr>
    <w:rPr>
      <w:rFonts w:ascii="Arial" w:hAnsi="Arial"/>
      <w:sz w:val="24"/>
      <w:szCs w:val="24"/>
      <w:lang w:eastAsia="ru-RU"/>
    </w:rPr>
  </w:style>
  <w:style w:type="paragraph" w:styleId="1">
    <w:name w:val="heading 1"/>
    <w:basedOn w:val="a"/>
    <w:next w:val="a"/>
    <w:link w:val="10"/>
    <w:uiPriority w:val="99"/>
    <w:qFormat/>
    <w:rsid w:val="00F5739E"/>
    <w:pPr>
      <w:keepNext/>
      <w:widowControl/>
      <w:autoSpaceDE/>
      <w:autoSpaceDN/>
      <w:adjustRightInd/>
      <w:ind w:firstLine="0"/>
      <w:jc w:val="center"/>
      <w:outlineLvl w:val="0"/>
    </w:pPr>
    <w:rPr>
      <w:rFonts w:ascii="Cambria" w:hAnsi="Cambria"/>
      <w:b/>
      <w:bCs/>
      <w:kern w:val="32"/>
      <w:sz w:val="32"/>
      <w:szCs w:val="32"/>
      <w:lang w:eastAsia="en-US"/>
    </w:rPr>
  </w:style>
  <w:style w:type="paragraph" w:styleId="2">
    <w:name w:val="heading 2"/>
    <w:basedOn w:val="a"/>
    <w:next w:val="a"/>
    <w:link w:val="20"/>
    <w:uiPriority w:val="99"/>
    <w:qFormat/>
    <w:rsid w:val="00F5739E"/>
    <w:pPr>
      <w:keepNext/>
      <w:widowControl/>
      <w:autoSpaceDE/>
      <w:autoSpaceDN/>
      <w:adjustRightInd/>
      <w:spacing w:before="240" w:after="60"/>
      <w:ind w:firstLine="0"/>
      <w:jc w:val="left"/>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39E"/>
    <w:rPr>
      <w:rFonts w:ascii="Cambria" w:hAnsi="Cambria"/>
      <w:b/>
      <w:bCs/>
      <w:kern w:val="32"/>
      <w:sz w:val="32"/>
      <w:szCs w:val="32"/>
    </w:rPr>
  </w:style>
  <w:style w:type="character" w:customStyle="1" w:styleId="20">
    <w:name w:val="Заголовок 2 Знак"/>
    <w:basedOn w:val="a0"/>
    <w:link w:val="2"/>
    <w:uiPriority w:val="99"/>
    <w:rsid w:val="00F5739E"/>
    <w:rPr>
      <w:rFonts w:ascii="Cambria" w:hAnsi="Cambria"/>
      <w:b/>
      <w:bCs/>
      <w:i/>
      <w:iCs/>
      <w:sz w:val="28"/>
      <w:szCs w:val="28"/>
    </w:rPr>
  </w:style>
  <w:style w:type="paragraph" w:styleId="a3">
    <w:name w:val="Title"/>
    <w:basedOn w:val="a"/>
    <w:link w:val="a4"/>
    <w:uiPriority w:val="99"/>
    <w:qFormat/>
    <w:rsid w:val="00F5739E"/>
    <w:pPr>
      <w:widowControl/>
      <w:autoSpaceDE/>
      <w:autoSpaceDN/>
      <w:adjustRightInd/>
      <w:ind w:firstLine="0"/>
      <w:jc w:val="center"/>
    </w:pPr>
    <w:rPr>
      <w:rFonts w:ascii="Cambria" w:hAnsi="Cambria"/>
      <w:b/>
      <w:bCs/>
      <w:kern w:val="28"/>
      <w:sz w:val="32"/>
      <w:szCs w:val="32"/>
      <w:lang w:eastAsia="en-US"/>
    </w:rPr>
  </w:style>
  <w:style w:type="character" w:customStyle="1" w:styleId="a4">
    <w:name w:val="Название Знак"/>
    <w:basedOn w:val="a0"/>
    <w:link w:val="a3"/>
    <w:uiPriority w:val="99"/>
    <w:rsid w:val="00F5739E"/>
    <w:rPr>
      <w:rFonts w:ascii="Cambria" w:hAnsi="Cambria"/>
      <w:b/>
      <w:bCs/>
      <w:kern w:val="28"/>
      <w:sz w:val="32"/>
      <w:szCs w:val="32"/>
    </w:rPr>
  </w:style>
  <w:style w:type="character" w:styleId="a5">
    <w:name w:val="Strong"/>
    <w:basedOn w:val="a0"/>
    <w:uiPriority w:val="99"/>
    <w:qFormat/>
    <w:rsid w:val="00F5739E"/>
    <w:rPr>
      <w:rFonts w:cs="Times New Roman"/>
      <w:b/>
      <w:bCs/>
    </w:rPr>
  </w:style>
  <w:style w:type="paragraph" w:styleId="a6">
    <w:name w:val="List Paragraph"/>
    <w:basedOn w:val="a"/>
    <w:uiPriority w:val="99"/>
    <w:qFormat/>
    <w:rsid w:val="00F5739E"/>
    <w:pPr>
      <w:widowControl/>
      <w:autoSpaceDE/>
      <w:autoSpaceDN/>
      <w:adjustRightInd/>
      <w:ind w:left="720" w:firstLine="0"/>
      <w:contextualSpacing/>
      <w:jc w:val="left"/>
    </w:pPr>
    <w:rPr>
      <w:rFonts w:ascii="Times New Roman" w:hAnsi="Times New Roman"/>
      <w:lang w:eastAsia="en-US"/>
    </w:rPr>
  </w:style>
  <w:style w:type="paragraph" w:styleId="a7">
    <w:name w:val="Normal (Web)"/>
    <w:basedOn w:val="a"/>
    <w:uiPriority w:val="99"/>
    <w:rsid w:val="00EC6691"/>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55628A4A1FBF7AD7F002E227747C56AE98BF1B8DD73A252A0DC04F0474p6N" TargetMode="External"/><Relationship Id="rId13" Type="http://schemas.openxmlformats.org/officeDocument/2006/relationships/hyperlink" Target="consultantplus://offline/ref=F455628A4A1FBF7AD7F002E227747C56AE98BF1C89D13A252A0DC04F0474p6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455628A4A1FBF7AD7F002E227747C56AE99BE118BD13A252A0DC04F0474p6N" TargetMode="External"/><Relationship Id="rId12" Type="http://schemas.openxmlformats.org/officeDocument/2006/relationships/hyperlink" Target="consultantplus://offline/ref=F455628A4A1FBF7AD7F002E227747C56AE98BD1E8ED33A252A0DC04F0474p6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6C79348A6157DACB71638AA894B3FE16B4936BDBB587903E105E7F22C901C1AA2E772F0EB1F72S742N" TargetMode="External"/><Relationship Id="rId1" Type="http://schemas.openxmlformats.org/officeDocument/2006/relationships/styles" Target="styles.xml"/><Relationship Id="rId6" Type="http://schemas.openxmlformats.org/officeDocument/2006/relationships/hyperlink" Target="consultantplus://offline/ref=F455628A4A1FBF7AD7F002E227747C56AE98BF1C8AD53A252A0DC04F0474p6N" TargetMode="External"/><Relationship Id="rId11" Type="http://schemas.openxmlformats.org/officeDocument/2006/relationships/hyperlink" Target="consultantplus://offline/ref=F455628A4A1FBF7AD7F002E227747C56AE98BB1F89D43A252A0DC04F0474p6N" TargetMode="External"/><Relationship Id="rId5" Type="http://schemas.openxmlformats.org/officeDocument/2006/relationships/hyperlink" Target="consultantplus://offline/ref=F455628A4A1FBF7AD7F002E227747C56AE98BB1F89D33A252A0DC04F0474p6N" TargetMode="External"/><Relationship Id="rId15" Type="http://schemas.openxmlformats.org/officeDocument/2006/relationships/hyperlink" Target="consultantplus://offline/ref=B6C79348A6157DACB71638AA894B3FE16B4936BDBB587903E105E7F22C901C1AA2E772F0EB1F71S746N" TargetMode="External"/><Relationship Id="rId10" Type="http://schemas.openxmlformats.org/officeDocument/2006/relationships/hyperlink" Target="consultantplus://offline/ref=F455628A4A1FBF7AD7F002E227747C56AE98BF1C89DF3A252A0DC04F0474p6N" TargetMode="External"/><Relationship Id="rId4" Type="http://schemas.openxmlformats.org/officeDocument/2006/relationships/webSettings" Target="webSettings.xml"/><Relationship Id="rId9" Type="http://schemas.openxmlformats.org/officeDocument/2006/relationships/hyperlink" Target="consultantplus://offline/ref=F455628A4A1FBF7AD7F002E227747C56AE98BD1E80D73A252A0DC04F0474p6N" TargetMode="External"/><Relationship Id="rId14" Type="http://schemas.openxmlformats.org/officeDocument/2006/relationships/hyperlink" Target="consultantplus://offline/ref=DC5688143164477E734017DE363AF0E8B652721DA8A31DF610B4C24A569557FE99DE4D2960B7C4p1v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11368</Characters>
  <Application>Microsoft Office Word</Application>
  <DocSecurity>0</DocSecurity>
  <Lines>94</Lines>
  <Paragraphs>26</Paragraphs>
  <ScaleCrop>false</ScaleCrop>
  <Company>Hewlett-Packard Company</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2020-08-26T07:49:00Z</dcterms:created>
  <dcterms:modified xsi:type="dcterms:W3CDTF">2020-08-26T07:49:00Z</dcterms:modified>
</cp:coreProperties>
</file>