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С 1 января 2014 года в соответствии с Федеральным законом № 426-ФЗ от 28 декабря 2013г. вместо процедуры «Аттестация рабочих мест по условиям труда» введена в практику «Специальная оценка условий труда» (СОУТ). Данная процедура представляет собой единый комплекс последовательно осуществляемых мероприятий по выявлению вредных и опасных факторов производственной среды и трудового процесса и оценке уровня их воздействия на работника. Специальная оценка условий труда является более масштабным и комплексным подходом как в определении влияния негативных факторов производственного процесса на здоровье работника, оценке уровня профессиональных рисков, так и в определении ответственности и страховой нагрузки для работодателей.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Специальная оценка условий труда. Основные аспекты.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 xml:space="preserve">— СОУТ </w:t>
      </w:r>
      <w:proofErr w:type="gramStart"/>
      <w:r w:rsidRPr="006A2884">
        <w:rPr>
          <w:sz w:val="24"/>
          <w:szCs w:val="24"/>
        </w:rPr>
        <w:t>направлена</w:t>
      </w:r>
      <w:proofErr w:type="gramEnd"/>
      <w:r w:rsidRPr="006A2884">
        <w:rPr>
          <w:sz w:val="24"/>
          <w:szCs w:val="24"/>
        </w:rPr>
        <w:t xml:space="preserve"> на совершенствование всей системы охраны труда. Одной из главных целей ее проведения является экономическая мотивация работодателей для улучшения условий труда на рабочих местах, что ощутимо снизит нагрузку на бизнес.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— По результатам специальной оценки условий труда будут определяться дополнительные тарифы страховых взносов в Пенсионный фонд, а также производиться расчет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Как проводится специальная оценка условий труда?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Специальная оценка условий труда проводиться на всех рабочих местах аккредитованными организациями совместно с работодателем.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Специальная оценка условий труда обязательна для каждого рабочего места, и должна проводиться не реже одного раза в пять лет.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За невыполнение или несоблюдение установленного порядка проведения СОУТ, а также за любое нарушение законодательства РФ по охране труда работодатель может понести как административную, так и уголовную ответственность.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С 1 января 2014 года для исследования рабочих мест введена специальная оценка условий труда. Данная процедура заменила ранее действовавшую аттестацию рабочих мест.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Специальная оценка условий труда</w:t>
      </w:r>
      <w:r w:rsidRPr="006A2884">
        <w:rPr>
          <w:sz w:val="24"/>
          <w:szCs w:val="24"/>
        </w:rPr>
        <w:t> – это целый комплекс мероприятий по идентификации вредных и (или) опасных факторов производственной среды и оценке уровня их воздействия на работника.</w:t>
      </w:r>
    </w:p>
    <w:p w:rsid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По результатам проведения специальной оценки устанавливаются классы (подклассы) условий труда на рабочих местах, рассчитываются скидки (надбавки) к страховому тарифу на обязательное социальное страхование от несчастных случаев на производстве. От ее результатов зависит размер дополнительных взносов в Пенсионный фонд Российской Федерации.</w:t>
      </w:r>
    </w:p>
    <w:p w:rsidR="006A2884" w:rsidRDefault="006A2884" w:rsidP="006A2884">
      <w:pPr>
        <w:rPr>
          <w:sz w:val="24"/>
          <w:szCs w:val="24"/>
        </w:rPr>
      </w:pPr>
    </w:p>
    <w:p w:rsidR="006A2884" w:rsidRDefault="006A2884" w:rsidP="006A2884">
      <w:pPr>
        <w:rPr>
          <w:sz w:val="24"/>
          <w:szCs w:val="24"/>
        </w:rPr>
      </w:pPr>
    </w:p>
    <w:p w:rsidR="006A2884" w:rsidRPr="006A2884" w:rsidRDefault="006A2884" w:rsidP="006A2884">
      <w:r w:rsidRPr="006A2884">
        <w:drawing>
          <wp:inline distT="0" distB="0" distL="0" distR="0">
            <wp:extent cx="8165816" cy="3625794"/>
            <wp:effectExtent l="0" t="0" r="6985" b="0"/>
            <wp:docPr id="3" name="Рисунок 3" descr="http://xn--j1aiit.xn--p1ai/wp-content/uploads/2017/08/2165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j1aiit.xn--p1ai/wp-content/uploads/2017/08/21657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942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84" w:rsidRDefault="006A2884" w:rsidP="006A2884">
      <w:pPr>
        <w:rPr>
          <w:b/>
          <w:bCs/>
          <w:sz w:val="24"/>
          <w:szCs w:val="24"/>
        </w:rPr>
      </w:pPr>
    </w:p>
    <w:p w:rsidR="006A2884" w:rsidRPr="006A2884" w:rsidRDefault="006A2884" w:rsidP="006A2884">
      <w:pPr>
        <w:rPr>
          <w:sz w:val="24"/>
          <w:szCs w:val="24"/>
        </w:rPr>
      </w:pPr>
      <w:proofErr w:type="spellStart"/>
      <w:proofErr w:type="gramStart"/>
      <w:r w:rsidRPr="006A2884">
        <w:rPr>
          <w:b/>
          <w:bCs/>
          <w:sz w:val="24"/>
          <w:szCs w:val="24"/>
        </w:rPr>
        <w:lastRenderedPageBreak/>
        <w:t>Соут</w:t>
      </w:r>
      <w:proofErr w:type="spellEnd"/>
      <w:r w:rsidRPr="006A2884">
        <w:rPr>
          <w:b/>
          <w:bCs/>
          <w:sz w:val="24"/>
          <w:szCs w:val="24"/>
        </w:rPr>
        <w:t xml:space="preserve"> или специальная оценка условий труда – это единый комплекс процедур, выполняемых последовательно и направленных на выявление и оценку уровня влияния опасных и вредных факторов производственной среды в ходе трудового процесса на сотрудников с учетом отклонения фактических значений от установленных нормативов (п. 1 ст. 3 Закона от 28 декабря 2013 г. № 426-ФЗ).</w:t>
      </w:r>
      <w:proofErr w:type="gramEnd"/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По результатам проведения специальной оценки устанавливают классы и подклассы условий труда на рабочих местах сотрудников (п. 2 ст. 3 Закона от 28 декабря 2013 г. № 426-ФЗ). Порядок проведения специальной оценки условий труда регулируется Законом от 28 декабря 2013 г. № 426-ФЗ.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  <w:u w:val="single"/>
        </w:rPr>
        <w:t>N 426-ФЗ 28 декабря 2013 года, в редакции от 1.05.2016 «О специальной оценке условий труда»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СУТЬ СПЕЦИАЛЬНОЙ ОЦЕНКИ УСЛОВИЙ ТРУДА 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Если на рабочих местах </w:t>
      </w:r>
      <w:r w:rsidRPr="006A2884">
        <w:rPr>
          <w:b/>
          <w:bCs/>
          <w:sz w:val="24"/>
          <w:szCs w:val="24"/>
        </w:rPr>
        <w:t>выявлены вредные и (или) опасные факторы</w:t>
      </w:r>
      <w:r w:rsidRPr="006A2884">
        <w:rPr>
          <w:sz w:val="24"/>
          <w:szCs w:val="24"/>
        </w:rPr>
        <w:t>, эксперты специализированной организации проводят инструментальные замеры для определения уровня влияния этих факторов на работников и установления класса условий труда (ч. 2 ст. 3, ч. 5 ст. 10 Закона №426-ФЗ). Условия труда подразделяются на четыре класса – оптимальные, допустимые, вредные и опасные (ч. 1-5 ст. 14 Закона №426-ФЗ).</w:t>
      </w:r>
    </w:p>
    <w:p w:rsidR="006A2884" w:rsidRPr="006A2884" w:rsidRDefault="006A2884" w:rsidP="006A2884">
      <w:pPr>
        <w:rPr>
          <w:sz w:val="24"/>
          <w:szCs w:val="24"/>
        </w:rPr>
      </w:pPr>
    </w:p>
    <w:p w:rsidR="006A2884" w:rsidRPr="006A2884" w:rsidRDefault="006A2884" w:rsidP="006A2884">
      <w:r w:rsidRPr="006A2884">
        <w:drawing>
          <wp:inline distT="0" distB="0" distL="0" distR="0">
            <wp:extent cx="9914628" cy="5494352"/>
            <wp:effectExtent l="0" t="0" r="0" b="0"/>
            <wp:docPr id="2" name="Рисунок 2" descr="http://xn--j1aiit.xn--p1ai/wp-content/uploads/2017/08/1438858690_att3-1-1024x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j1aiit.xn--p1ai/wp-content/uploads/2017/08/1438858690_att3-1-1024x5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17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От того, к какому классу условий труда относится рабочее место, зависит сумма дополнительного страхового тарифа, которую работодателю нужно вносить в ПФР за работника, досрочно выходящего на пенсию в связи с занятостью на вредных и (или) опасных видах производства (ч. 2.1 ст. 58.3 Федерального закона от 24.07.2009 г. №212-ФЗ). Чем лучше условия труда, тем меньше размер отчислений.</w:t>
      </w:r>
    </w:p>
    <w:p w:rsidR="006A2884" w:rsidRPr="006A2884" w:rsidRDefault="006A2884" w:rsidP="006A2884">
      <w:pPr>
        <w:rPr>
          <w:sz w:val="24"/>
          <w:szCs w:val="24"/>
        </w:rPr>
      </w:pPr>
      <w:proofErr w:type="gramStart"/>
      <w:r w:rsidRPr="006A2884">
        <w:rPr>
          <w:sz w:val="24"/>
          <w:szCs w:val="24"/>
        </w:rPr>
        <w:lastRenderedPageBreak/>
        <w:t>Класс условий труда влияет также на уровень гарантий и компенсаций, предоставляемых работникам, занятым во вредном и (или) опасном производстве (например, дополнительный ежегодный отпуск (ч. 1 ст. 117 ТК РФ), сокращенная продолжительность рабочего времени (</w:t>
      </w:r>
      <w:proofErr w:type="spellStart"/>
      <w:r w:rsidRPr="006A2884">
        <w:rPr>
          <w:sz w:val="24"/>
          <w:szCs w:val="24"/>
        </w:rPr>
        <w:t>абз</w:t>
      </w:r>
      <w:proofErr w:type="spellEnd"/>
      <w:r w:rsidRPr="006A2884">
        <w:rPr>
          <w:sz w:val="24"/>
          <w:szCs w:val="24"/>
        </w:rPr>
        <w:t>. 5 ч. 1 ст. 92 ТК РФ), повышенный размер оплаты труда (ч. 1 ст. 147 ТК РФ)).</w:t>
      </w:r>
      <w:proofErr w:type="gramEnd"/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Все рабочие места, на которых выявлены вредные и (или) опасные производственные факторы, каждые пять лет подлежат повторной процедуре специальной оценки (ч. 4 ст. 8 Закона №426-ФЗ).</w:t>
      </w:r>
      <w:r w:rsidRPr="006A2884">
        <w:rPr>
          <w:sz w:val="24"/>
          <w:szCs w:val="24"/>
        </w:rPr>
        <w:br/>
        <w:t>Улучшение условий труда и снижение вредных и (или) опасных факторов ведет к уменьшению дополнительного тарифа (может опустить его даже до нуля), снижает размер компенсационных выплат и иных гарантий льготной категории работников.</w:t>
      </w:r>
      <w:r w:rsidRPr="006A2884">
        <w:rPr>
          <w:sz w:val="24"/>
          <w:szCs w:val="24"/>
        </w:rPr>
        <w:br/>
      </w:r>
      <w:r w:rsidRPr="006A2884">
        <w:rPr>
          <w:b/>
          <w:bCs/>
          <w:sz w:val="24"/>
          <w:szCs w:val="24"/>
        </w:rPr>
        <w:t> 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Ответственность за не проведение специальной оценки условий труда 2017.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 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Если организация не проведет обязательную специальную оценку условий труда, это будет являться нарушением трудового законодательства.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В </w:t>
      </w:r>
      <w:r w:rsidRPr="006A2884">
        <w:rPr>
          <w:b/>
          <w:bCs/>
          <w:sz w:val="24"/>
          <w:szCs w:val="24"/>
        </w:rPr>
        <w:t>2017 году</w:t>
      </w:r>
      <w:r w:rsidRPr="006A2884">
        <w:rPr>
          <w:sz w:val="24"/>
          <w:szCs w:val="24"/>
        </w:rPr>
        <w:t> административная ответственность за нарушение законодательства об охране труда установлена статьей </w:t>
      </w:r>
      <w:r w:rsidRPr="006A2884">
        <w:rPr>
          <w:b/>
          <w:bCs/>
          <w:sz w:val="24"/>
          <w:szCs w:val="24"/>
        </w:rPr>
        <w:t>5.27 КоАП РФ</w:t>
      </w:r>
      <w:r w:rsidRPr="006A2884">
        <w:rPr>
          <w:sz w:val="24"/>
          <w:szCs w:val="24"/>
        </w:rPr>
        <w:t xml:space="preserve">. Но </w:t>
      </w:r>
      <w:proofErr w:type="gramStart"/>
      <w:r w:rsidRPr="006A2884">
        <w:rPr>
          <w:sz w:val="24"/>
          <w:szCs w:val="24"/>
        </w:rPr>
        <w:t>основании</w:t>
      </w:r>
      <w:proofErr w:type="gramEnd"/>
      <w:r w:rsidRPr="006A2884">
        <w:rPr>
          <w:sz w:val="24"/>
          <w:szCs w:val="24"/>
        </w:rPr>
        <w:t xml:space="preserve"> этой статьи работодателя могут наказать, в том числе, за </w:t>
      </w:r>
      <w:proofErr w:type="spellStart"/>
      <w:r w:rsidRPr="006A2884">
        <w:rPr>
          <w:sz w:val="24"/>
          <w:szCs w:val="24"/>
        </w:rPr>
        <w:t>непроведение</w:t>
      </w:r>
      <w:proofErr w:type="spellEnd"/>
      <w:r w:rsidRPr="006A2884">
        <w:rPr>
          <w:sz w:val="24"/>
          <w:szCs w:val="24"/>
        </w:rPr>
        <w:t xml:space="preserve"> специальной оценки условий труда: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Организации: штраф от 30 до 50 тыс. рублей или приостановление деятельности до 90 суток.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Должностные лица организации: штраф от 1 до 5 тыс. рублей или дисквалификация от 1 до 3-х лет (при повторном нарушении).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С </w:t>
      </w:r>
      <w:r w:rsidRPr="006A2884">
        <w:rPr>
          <w:b/>
          <w:bCs/>
          <w:sz w:val="24"/>
          <w:szCs w:val="24"/>
        </w:rPr>
        <w:t>1 января 2015 года в КоАП РФ</w:t>
      </w:r>
      <w:r w:rsidRPr="006A2884">
        <w:rPr>
          <w:sz w:val="24"/>
          <w:szCs w:val="24"/>
        </w:rPr>
        <w:t> добавляется новая статья </w:t>
      </w:r>
      <w:r w:rsidRPr="006A2884">
        <w:rPr>
          <w:b/>
          <w:bCs/>
          <w:sz w:val="24"/>
          <w:szCs w:val="24"/>
        </w:rPr>
        <w:t>5.27.1 КоАП РФ</w:t>
      </w:r>
      <w:r w:rsidRPr="006A2884">
        <w:rPr>
          <w:sz w:val="24"/>
          <w:szCs w:val="24"/>
        </w:rPr>
        <w:t xml:space="preserve">, которая прямо устанавливает ответственность за нарушение работодателем порядка проведения специальной оценки условий труда или ее </w:t>
      </w:r>
      <w:proofErr w:type="spellStart"/>
      <w:r w:rsidRPr="006A2884">
        <w:rPr>
          <w:sz w:val="24"/>
          <w:szCs w:val="24"/>
        </w:rPr>
        <w:t>непроведение</w:t>
      </w:r>
      <w:proofErr w:type="spellEnd"/>
      <w:r w:rsidRPr="006A2884">
        <w:rPr>
          <w:sz w:val="24"/>
          <w:szCs w:val="24"/>
        </w:rPr>
        <w:t>: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Организации: предупреждение; штраф от 60 до 80 тыс. рублей; штраф от 100 до 200 тыс. рублей или приостановление деятельности до 90 суток (при повторном нарушении);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Должностные лица: предупреждение; штраф от 5 до 10 тыс. рублей; штраф от 30 до 40 тыс. рублей или дисквалификация на срок от 1 до 3-х лет (при повторном нарушении).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Классы условий труда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Условия труда по степени вредности и опасности подразделяют на четыре класса: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1-й класс</w:t>
      </w:r>
      <w:r w:rsidRPr="006A2884">
        <w:rPr>
          <w:sz w:val="24"/>
          <w:szCs w:val="24"/>
        </w:rPr>
        <w:t xml:space="preserve"> – оптимальные условия труда. К нему относят условия труда, при которых воздействие на сотрудника вредных и (или) опасных производственных факторов отсутствует или </w:t>
      </w:r>
      <w:proofErr w:type="gramStart"/>
      <w:r w:rsidRPr="006A2884">
        <w:rPr>
          <w:sz w:val="24"/>
          <w:szCs w:val="24"/>
        </w:rPr>
        <w:t>уровни</w:t>
      </w:r>
      <w:proofErr w:type="gramEnd"/>
      <w:r w:rsidRPr="006A2884">
        <w:rPr>
          <w:sz w:val="24"/>
          <w:szCs w:val="24"/>
        </w:rPr>
        <w:t xml:space="preserve"> воздействия которых не превышают уровни, установленные нормативами условий труда и принятые в качестве безопасных для человека, а также создаются предпосылки для поддержания высокого уровня работоспособности сотрудника;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2-й класс</w:t>
      </w:r>
      <w:r w:rsidRPr="006A2884">
        <w:rPr>
          <w:sz w:val="24"/>
          <w:szCs w:val="24"/>
        </w:rPr>
        <w:t xml:space="preserve"> – допустимые условия труда. Это такие условия, при которых на сотрудника воздействуют вредные и (или) опасные производственные факторы, </w:t>
      </w:r>
      <w:proofErr w:type="gramStart"/>
      <w:r w:rsidRPr="006A2884">
        <w:rPr>
          <w:sz w:val="24"/>
          <w:szCs w:val="24"/>
        </w:rPr>
        <w:t>уровни</w:t>
      </w:r>
      <w:proofErr w:type="gramEnd"/>
      <w:r w:rsidRPr="006A2884">
        <w:rPr>
          <w:sz w:val="24"/>
          <w:szCs w:val="24"/>
        </w:rPr>
        <w:t xml:space="preserve"> воздействия которых не превышают уровни, установленные нормативами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3-й класс</w:t>
      </w:r>
      <w:r w:rsidRPr="006A2884">
        <w:rPr>
          <w:sz w:val="24"/>
          <w:szCs w:val="24"/>
        </w:rPr>
        <w:t> – вредные условия труда. Сюда относят такие условия труда, при которых уровни воздействия вредных и (или) опасных производственных факторов превышают уровни, установленные нормативами условий труда;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4-й класс</w:t>
      </w:r>
      <w:r w:rsidRPr="006A2884">
        <w:rPr>
          <w:sz w:val="24"/>
          <w:szCs w:val="24"/>
        </w:rPr>
        <w:t xml:space="preserve"> – опасные условия труда. Речь идет об условиях труда, при которых на сотрудника воздействуют вредные и (или) опасные производственные факторы, </w:t>
      </w:r>
      <w:proofErr w:type="gramStart"/>
      <w:r w:rsidRPr="006A2884">
        <w:rPr>
          <w:sz w:val="24"/>
          <w:szCs w:val="24"/>
        </w:rPr>
        <w:t>уровни</w:t>
      </w:r>
      <w:proofErr w:type="gramEnd"/>
      <w:r w:rsidRPr="006A2884">
        <w:rPr>
          <w:sz w:val="24"/>
          <w:szCs w:val="24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профзаболевания в период трудовой деятельности.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sz w:val="24"/>
          <w:szCs w:val="24"/>
        </w:rPr>
        <w:t>В свою очередь </w:t>
      </w:r>
      <w:r w:rsidRPr="006A2884">
        <w:rPr>
          <w:b/>
          <w:bCs/>
          <w:sz w:val="24"/>
          <w:szCs w:val="24"/>
        </w:rPr>
        <w:t>3-й класс вредных условий</w:t>
      </w:r>
      <w:r w:rsidRPr="006A2884">
        <w:rPr>
          <w:sz w:val="24"/>
          <w:szCs w:val="24"/>
        </w:rPr>
        <w:t xml:space="preserve"> имеет следующие </w:t>
      </w:r>
      <w:r w:rsidRPr="006A2884">
        <w:rPr>
          <w:sz w:val="24"/>
          <w:szCs w:val="24"/>
        </w:rPr>
        <w:t>подклассы:</w:t>
      </w:r>
    </w:p>
    <w:p w:rsidR="006A2884" w:rsidRPr="006A2884" w:rsidRDefault="006A2884" w:rsidP="006A2884">
      <w:pPr>
        <w:rPr>
          <w:sz w:val="24"/>
          <w:szCs w:val="24"/>
        </w:rPr>
      </w:pPr>
    </w:p>
    <w:p w:rsidR="006A2884" w:rsidRPr="006A2884" w:rsidRDefault="006A2884" w:rsidP="006A2884">
      <w:r w:rsidRPr="006A2884">
        <w:lastRenderedPageBreak/>
        <w:drawing>
          <wp:inline distT="0" distB="0" distL="0" distR="0">
            <wp:extent cx="3856355" cy="2051685"/>
            <wp:effectExtent l="0" t="0" r="0" b="5715"/>
            <wp:docPr id="1" name="Рисунок 1" descr="http://xn--j1aiit.xn--p1ai/wp-content/uploads/2017/08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j1aiit.xn--p1ai/wp-content/uploads/2017/08/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84" w:rsidRPr="006A2884" w:rsidRDefault="006A2884" w:rsidP="006A2884">
      <w:pPr>
        <w:rPr>
          <w:sz w:val="24"/>
          <w:szCs w:val="24"/>
        </w:rPr>
      </w:pPr>
      <w:bookmarkStart w:id="0" w:name="_GoBack"/>
      <w:bookmarkEnd w:id="0"/>
      <w:r w:rsidRPr="006A2884">
        <w:rPr>
          <w:b/>
          <w:bCs/>
          <w:sz w:val="24"/>
          <w:szCs w:val="24"/>
        </w:rPr>
        <w:t>подкласс 3.1</w:t>
      </w:r>
      <w:r w:rsidRPr="006A2884">
        <w:rPr>
          <w:sz w:val="24"/>
          <w:szCs w:val="24"/>
        </w:rPr>
        <w:t xml:space="preserve"> – вредные условия труда 1-й степени. Сюда входят условия труда, при которых на сотрудника воздействуют вредные и (или) опасные производственные факторы, после </w:t>
      </w:r>
      <w:proofErr w:type="gramStart"/>
      <w:r w:rsidRPr="006A2884">
        <w:rPr>
          <w:sz w:val="24"/>
          <w:szCs w:val="24"/>
        </w:rPr>
        <w:t>воздействия</w:t>
      </w:r>
      <w:proofErr w:type="gramEnd"/>
      <w:r w:rsidRPr="006A2884">
        <w:rPr>
          <w:sz w:val="24"/>
          <w:szCs w:val="24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 и увеличивается риск повреждения здоровья;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подкласс 3.2</w:t>
      </w:r>
      <w:r w:rsidRPr="006A2884">
        <w:rPr>
          <w:sz w:val="24"/>
          <w:szCs w:val="24"/>
        </w:rPr>
        <w:t xml:space="preserve"> – вредные условия труда 2-й степени. 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6A2884">
        <w:rPr>
          <w:sz w:val="24"/>
          <w:szCs w:val="24"/>
        </w:rPr>
        <w:t>уровни</w:t>
      </w:r>
      <w:proofErr w:type="gramEnd"/>
      <w:r w:rsidRPr="006A2884">
        <w:rPr>
          <w:sz w:val="24"/>
          <w:szCs w:val="24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профзаболеваний или профзаболеваний легкой степени тяжести (без потери профессиональной трудоспособности), возникающих после продолжительной работы в таких условиях: 15 и более лет;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подкласс 3.3</w:t>
      </w:r>
      <w:r w:rsidRPr="006A2884">
        <w:rPr>
          <w:sz w:val="24"/>
          <w:szCs w:val="24"/>
        </w:rPr>
        <w:t xml:space="preserve"> – вредные условия труда 3-й степени. Сюда входят условия труда, при которых на сотрудника воздействуют вредные и (или) опасные производственные факторы, </w:t>
      </w:r>
      <w:proofErr w:type="gramStart"/>
      <w:r w:rsidRPr="006A2884">
        <w:rPr>
          <w:sz w:val="24"/>
          <w:szCs w:val="24"/>
        </w:rPr>
        <w:t>уровни</w:t>
      </w:r>
      <w:proofErr w:type="gramEnd"/>
      <w:r w:rsidRPr="006A2884">
        <w:rPr>
          <w:sz w:val="24"/>
          <w:szCs w:val="24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профзаболеваний легкой и средней степени тяжести (с потерей профессиональной трудоспособности) в период трудовой деятельности;</w:t>
      </w:r>
    </w:p>
    <w:p w:rsidR="006A2884" w:rsidRPr="006A2884" w:rsidRDefault="006A2884" w:rsidP="006A2884">
      <w:pPr>
        <w:rPr>
          <w:sz w:val="24"/>
          <w:szCs w:val="24"/>
        </w:rPr>
      </w:pPr>
      <w:r w:rsidRPr="006A2884">
        <w:rPr>
          <w:b/>
          <w:bCs/>
          <w:sz w:val="24"/>
          <w:szCs w:val="24"/>
        </w:rPr>
        <w:t>подкласс 3.4</w:t>
      </w:r>
      <w:r w:rsidRPr="006A2884">
        <w:rPr>
          <w:sz w:val="24"/>
          <w:szCs w:val="24"/>
        </w:rPr>
        <w:t xml:space="preserve"> – вредные условия труда 4-й степени. 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6A2884">
        <w:rPr>
          <w:sz w:val="24"/>
          <w:szCs w:val="24"/>
        </w:rPr>
        <w:t>уровни</w:t>
      </w:r>
      <w:proofErr w:type="gramEnd"/>
      <w:r w:rsidRPr="006A2884">
        <w:rPr>
          <w:sz w:val="24"/>
          <w:szCs w:val="24"/>
        </w:rPr>
        <w:t xml:space="preserve"> воздействия которых способны привести к появлению и развитию тяжелых форм профзаболеваний (с потерей общей трудоспособности) в период трудовой деятельности.</w:t>
      </w:r>
    </w:p>
    <w:p w:rsidR="006A2884" w:rsidRPr="006A2884" w:rsidRDefault="006A2884" w:rsidP="006A2884">
      <w:r w:rsidRPr="006A2884">
        <w:t> </w:t>
      </w:r>
    </w:p>
    <w:p w:rsidR="007D029A" w:rsidRPr="00CC2D97" w:rsidRDefault="007D029A" w:rsidP="00CC2D97"/>
    <w:sectPr w:rsidR="007D029A" w:rsidRPr="00CC2D97" w:rsidSect="007D029A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9A"/>
    <w:rsid w:val="003222A3"/>
    <w:rsid w:val="005303DA"/>
    <w:rsid w:val="0063460E"/>
    <w:rsid w:val="00667754"/>
    <w:rsid w:val="006A2884"/>
    <w:rsid w:val="007D029A"/>
    <w:rsid w:val="007D4C22"/>
    <w:rsid w:val="0098198A"/>
    <w:rsid w:val="009D198E"/>
    <w:rsid w:val="00A308BB"/>
    <w:rsid w:val="00CC2D97"/>
    <w:rsid w:val="00CE177F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A28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7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A288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a8">
    <w:name w:val="Hyperlink"/>
    <w:basedOn w:val="a0"/>
    <w:uiPriority w:val="99"/>
    <w:unhideWhenUsed/>
    <w:rsid w:val="006A28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2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A28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7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A288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a8">
    <w:name w:val="Hyperlink"/>
    <w:basedOn w:val="a0"/>
    <w:uiPriority w:val="99"/>
    <w:unhideWhenUsed/>
    <w:rsid w:val="006A28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2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129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 Башмакова</cp:lastModifiedBy>
  <cp:revision>4</cp:revision>
  <dcterms:created xsi:type="dcterms:W3CDTF">2018-04-05T06:45:00Z</dcterms:created>
  <dcterms:modified xsi:type="dcterms:W3CDTF">2018-04-05T06:56:00Z</dcterms:modified>
</cp:coreProperties>
</file>