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245"/>
      </w:tblGrid>
      <w:tr w:rsidR="005F3301">
        <w:tc>
          <w:tcPr>
            <w:tcW w:w="9180" w:type="dxa"/>
          </w:tcPr>
          <w:p w:rsidR="005F3301" w:rsidRDefault="005F330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F3301" w:rsidRDefault="005F3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БУ СО ВО «КЦСОН Шекснинского района» </w:t>
            </w:r>
          </w:p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«30» декабря 2022 года  № 167   </w:t>
            </w:r>
          </w:p>
          <w:p w:rsidR="005F3301" w:rsidRDefault="005F3301">
            <w:pPr>
              <w:rPr>
                <w:sz w:val="28"/>
                <w:szCs w:val="28"/>
              </w:rPr>
            </w:pPr>
          </w:p>
        </w:tc>
      </w:tr>
    </w:tbl>
    <w:p w:rsidR="005F3301" w:rsidRDefault="005F330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F3301" w:rsidRDefault="00225A0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ПЛАН МЕРОПРИЯТИЙ ПО ПРОТИВОДЕЙСТВИЮ КОРРУПЦИИ В 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5F3301" w:rsidRDefault="00225A0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2023 ГОД</w:t>
      </w:r>
    </w:p>
    <w:p w:rsidR="005F3301" w:rsidRDefault="005F3301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</w:p>
    <w:p w:rsidR="005F3301" w:rsidRDefault="00225A02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 xml:space="preserve">Введение </w:t>
      </w:r>
    </w:p>
    <w:p w:rsidR="005F3301" w:rsidRDefault="00225A02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Основанием для разработки плана мероприяти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й по противодействию коррупции  в бюджетном учреждении социального обслуживания Вологодской области «Комплексный центр социального обслуживания населения Шекснинского района» (далее - учреждение) является Федеральный закон  от 29.10.2008 года № 273 ФЗ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                          «О противодействии коррупции».</w:t>
      </w:r>
    </w:p>
    <w:p w:rsidR="005F3301" w:rsidRDefault="00225A02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>2. Цели и задачи</w:t>
      </w:r>
    </w:p>
    <w:p w:rsidR="005F3301" w:rsidRDefault="00225A02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2.1. Ведущие цели:</w:t>
      </w:r>
    </w:p>
    <w:p w:rsidR="005F3301" w:rsidRDefault="00225A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недопущение предпосылок, исключение возможности фактов коррупции в  учреждении;</w:t>
      </w:r>
    </w:p>
    <w:p w:rsidR="005F3301" w:rsidRDefault="00225A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обеспечение выполнения Плана мероприятий по предупреждению и противодействию коррупции в учреждении;</w:t>
      </w:r>
    </w:p>
    <w:p w:rsidR="005F3301" w:rsidRDefault="00225A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обеспечение защиты прав и законных интересов граждан от негативных процессов и явлений, связанных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с коррупцией, укрепление доверия граждан к деятельности учреждения.</w:t>
      </w:r>
    </w:p>
    <w:p w:rsidR="005F3301" w:rsidRDefault="00225A02">
      <w:pPr>
        <w:widowControl w:val="0"/>
        <w:spacing w:after="0" w:line="240" w:lineRule="auto"/>
        <w:ind w:left="42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2.2. Для достижения указанных целей требуется решение следующих задач:</w:t>
      </w:r>
    </w:p>
    <w:p w:rsidR="005F3301" w:rsidRDefault="00225A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предупреждение коррупционных правонарушений;</w:t>
      </w:r>
    </w:p>
    <w:p w:rsidR="005F3301" w:rsidRDefault="00225A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оптимизация и конкретизация полномочий должностных лиц;</w:t>
      </w:r>
    </w:p>
    <w:p w:rsidR="005F3301" w:rsidRDefault="00225A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lastRenderedPageBreak/>
        <w:t>формирование ант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икоррупционного сознания работников учреждения;</w:t>
      </w:r>
    </w:p>
    <w:p w:rsidR="005F3301" w:rsidRDefault="00225A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обеспечение неотвратимости ответственности за совершение коррупционных правонарушений;</w:t>
      </w:r>
    </w:p>
    <w:p w:rsidR="005F3301" w:rsidRDefault="00225A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повышение эффективности управления, качества и доступности предоставляемых социальных услуг;</w:t>
      </w:r>
    </w:p>
    <w:p w:rsidR="005F3301" w:rsidRDefault="00225A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содействие реализации пра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в граждан на доступ к информации о деятельности учреждения.</w:t>
      </w:r>
    </w:p>
    <w:p w:rsidR="005F3301" w:rsidRDefault="00225A02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3.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>Ожидаемые результаты реализации плана</w:t>
      </w:r>
    </w:p>
    <w:p w:rsidR="005F3301" w:rsidRDefault="00225A0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повышение эффективности управления, качества и доступности предоставляемых социальных услуг;</w:t>
      </w:r>
    </w:p>
    <w:p w:rsidR="005F3301" w:rsidRDefault="00225A0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укрепление доверия граждан к деятельности учреждения.</w:t>
      </w:r>
    </w:p>
    <w:p w:rsidR="005F3301" w:rsidRDefault="00225A02">
      <w:pPr>
        <w:widowControl w:val="0"/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zh-CN"/>
        </w:rPr>
        <w:t>4. Основ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zh-CN"/>
        </w:rPr>
        <w:t>ные мероприятия Плана</w:t>
      </w:r>
    </w:p>
    <w:p w:rsidR="005F3301" w:rsidRDefault="005F3301">
      <w:pPr>
        <w:spacing w:after="0"/>
        <w:jc w:val="both"/>
        <w:rPr>
          <w:rFonts w:ascii="Times New Roman" w:hAnsi="Times New Roman"/>
          <w:sz w:val="30"/>
          <w:szCs w:val="30"/>
          <w:vertAlign w:val="superscript"/>
        </w:rPr>
      </w:pPr>
    </w:p>
    <w:tbl>
      <w:tblPr>
        <w:tblStyle w:val="12"/>
        <w:tblW w:w="15452" w:type="dxa"/>
        <w:tblInd w:w="-318" w:type="dxa"/>
        <w:tblLook w:val="04A0" w:firstRow="1" w:lastRow="0" w:firstColumn="1" w:lastColumn="0" w:noHBand="0" w:noVBand="1"/>
      </w:tblPr>
      <w:tblGrid>
        <w:gridCol w:w="770"/>
        <w:gridCol w:w="8796"/>
        <w:gridCol w:w="3232"/>
        <w:gridCol w:w="2654"/>
      </w:tblGrid>
      <w:tr w:rsidR="005F3301">
        <w:trPr>
          <w:trHeight w:val="376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3301">
        <w:trPr>
          <w:trHeight w:val="713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82" w:type="dxa"/>
            <w:gridSpan w:val="3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Нормативное обеспечение противодействия коррупции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локальных актов по противодействию коррупции</w:t>
            </w:r>
          </w:p>
        </w:tc>
        <w:tc>
          <w:tcPr>
            <w:tcW w:w="3232" w:type="dxa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февраля 2023 г.</w:t>
            </w:r>
          </w:p>
        </w:tc>
        <w:tc>
          <w:tcPr>
            <w:tcW w:w="2654" w:type="dxa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правонарушений, специалист по кадрам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Анализ, уточнение должностных обязанностей работников, исполнение которых в наибольшей мере подверженных риску коррупционных проявлений и введение антикорру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пционных положений в трудовые договоры, и должностные инструкции вновь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трудоустроенных работников Учреждения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 марта 2023 г. (анализ и уточнение);</w:t>
            </w:r>
          </w:p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по мере необходимост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антикоррупционных положений)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Лицо, ответственное за профилактику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коррупционных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иных правонарушений; специалист по кадрам</w:t>
            </w:r>
          </w:p>
        </w:tc>
      </w:tr>
      <w:tr w:rsidR="005F3301">
        <w:tc>
          <w:tcPr>
            <w:tcW w:w="15452" w:type="dxa"/>
            <w:gridSpan w:val="4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Правовое просвещение и повышение антикоррупционной компетентности работников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информирования работников учреждения об изменениях  антикоррупционного законодательства.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учреждения, 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z w:val="28"/>
                <w:szCs w:val="28"/>
              </w:rPr>
              <w:t>ечение года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законодательства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ответственное за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профилактику коррупционных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консультативной помощи работникам по вопросам, связанным с применением на практике общих принципов служебного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ответственное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профилактику коррупционных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программе проведения тематических занятий по противодействию коррупции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5F3301">
        <w:trPr>
          <w:trHeight w:val="468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682" w:type="dxa"/>
            <w:gridSpan w:val="3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организации антикоррупционного образования и воспитания</w:t>
            </w:r>
          </w:p>
        </w:tc>
      </w:tr>
      <w:tr w:rsidR="005F3301">
        <w:trPr>
          <w:trHeight w:val="1493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</w:t>
            </w:r>
            <w:r>
              <w:rPr>
                <w:rFonts w:ascii="Times New Roman" w:hAnsi="Times New Roman"/>
                <w:sz w:val="28"/>
                <w:szCs w:val="28"/>
              </w:rPr>
              <w:t>гласие принять взятку или как просьба о даче взятки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учреждения;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учреждения с точки зрения наличия сведений о фактах коррупции и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зации их проверки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учреждения,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ответственное за профилактику коррупционных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82" w:type="dxa"/>
            <w:gridSpan w:val="3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взаимодействию с гражданами (получателями социальных услуг) в целях предупреждения коррупции</w:t>
            </w:r>
          </w:p>
        </w:tc>
      </w:tr>
      <w:tr w:rsidR="005F3301">
        <w:trPr>
          <w:trHeight w:val="401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отрение в соответствии с действующим законодательством обращений граждан содержащих сведения о коррупции по вопросам, находящимся в ведении учреждения </w:t>
            </w:r>
          </w:p>
          <w:p w:rsidR="005F3301" w:rsidRDefault="005F3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Директор;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директора;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отделениями,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ицо, ответственное за профилактику коррупционных и иных правонарушений</w:t>
            </w:r>
          </w:p>
        </w:tc>
      </w:tr>
      <w:tr w:rsidR="005F3301">
        <w:trPr>
          <w:trHeight w:val="401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</w:t>
            </w:r>
            <w:r>
              <w:rPr>
                <w:rFonts w:ascii="Times New Roman" w:hAnsi="Times New Roman"/>
                <w:sz w:val="28"/>
                <w:szCs w:val="28"/>
              </w:rPr>
              <w:t>ствию коррупции в учреждении, о принятых правовых актах по вопросам противодействия коррупции)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5F3301">
        <w:trPr>
          <w:trHeight w:val="401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изменений в законодательстве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</w:t>
            </w:r>
            <w:r>
              <w:rPr>
                <w:rFonts w:ascii="Times New Roman" w:hAnsi="Times New Roman"/>
                <w:sz w:val="28"/>
                <w:szCs w:val="28"/>
              </w:rPr>
              <w:t>ушений</w:t>
            </w:r>
          </w:p>
        </w:tc>
      </w:tr>
      <w:tr w:rsidR="005F3301">
        <w:trPr>
          <w:trHeight w:val="401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5F3301">
        <w:trPr>
          <w:trHeight w:val="401"/>
        </w:trPr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цо, ответственное за профилактику коррупционных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</w:t>
            </w:r>
            <w:r>
              <w:rPr>
                <w:rFonts w:ascii="Times New Roman" w:hAnsi="Times New Roman"/>
                <w:sz w:val="28"/>
                <w:szCs w:val="28"/>
              </w:rPr>
              <w:t>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служебных проверок по фактам коррупционных действий работников Учреждения, указанным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жалобах граждан  или  опубликованным в средствах массовой информации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противодействию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682" w:type="dxa"/>
            <w:gridSpan w:val="3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заключенных контрактов по закупке товаров, работ услуг для обеспечения нужд Учре</w:t>
            </w:r>
            <w:r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Merge w:val="restart"/>
            <w:vAlign w:val="center"/>
          </w:tcPr>
          <w:p w:rsidR="005F3301" w:rsidRDefault="005F3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Экономист, специалист по закупкам, </w:t>
            </w:r>
          </w:p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профилактику коррупционных и иных правонарушений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Merge/>
            <w:vAlign w:val="center"/>
          </w:tcPr>
          <w:p w:rsidR="005F3301" w:rsidRDefault="005F3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Merge/>
            <w:vAlign w:val="center"/>
          </w:tcPr>
          <w:p w:rsidR="005F3301" w:rsidRDefault="005F3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4682" w:type="dxa"/>
            <w:gridSpan w:val="3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5F3301">
        <w:tc>
          <w:tcPr>
            <w:tcW w:w="770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8796" w:type="dxa"/>
            <w:vAlign w:val="center"/>
          </w:tcPr>
          <w:p w:rsidR="005F3301" w:rsidRDefault="00225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</w:t>
            </w:r>
          </w:p>
        </w:tc>
        <w:tc>
          <w:tcPr>
            <w:tcW w:w="3232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54" w:type="dxa"/>
            <w:vAlign w:val="center"/>
          </w:tcPr>
          <w:p w:rsidR="005F3301" w:rsidRDefault="00225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</w:tr>
    </w:tbl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p w:rsidR="005F3301" w:rsidRDefault="005F3301">
      <w:pPr>
        <w:rPr>
          <w:rFonts w:ascii="Times New Roman" w:hAnsi="Times New Roman"/>
          <w:sz w:val="28"/>
          <w:szCs w:val="28"/>
        </w:rPr>
      </w:pPr>
    </w:p>
    <w:sectPr w:rsidR="005F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02" w:rsidRDefault="00225A02">
      <w:pPr>
        <w:spacing w:after="0" w:line="240" w:lineRule="auto"/>
      </w:pPr>
      <w:r>
        <w:separator/>
      </w:r>
    </w:p>
  </w:endnote>
  <w:endnote w:type="continuationSeparator" w:id="0">
    <w:p w:rsidR="00225A02" w:rsidRDefault="0022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02" w:rsidRDefault="00225A02">
      <w:pPr>
        <w:spacing w:after="0" w:line="240" w:lineRule="auto"/>
      </w:pPr>
      <w:r>
        <w:separator/>
      </w:r>
    </w:p>
  </w:footnote>
  <w:footnote w:type="continuationSeparator" w:id="0">
    <w:p w:rsidR="00225A02" w:rsidRDefault="00225A02">
      <w:pPr>
        <w:spacing w:after="0" w:line="240" w:lineRule="auto"/>
      </w:pPr>
      <w:r>
        <w:continuationSeparator/>
      </w:r>
    </w:p>
  </w:footnote>
  <w:footnote w:id="1">
    <w:p w:rsidR="005F3301" w:rsidRDefault="00225A02">
      <w:pPr>
        <w:pStyle w:val="13"/>
        <w:jc w:val="both"/>
        <w:rPr>
          <w:rFonts w:ascii="Times New Roman" w:hAnsi="Times New Roman" w:cs="Times New Roman"/>
          <w:sz w:val="22"/>
        </w:rPr>
      </w:pPr>
      <w:r>
        <w:rPr>
          <w:rStyle w:val="afb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В трудовых договорах и должностных инструкциях необходимо отразить обязанность работника соблюдать антикоррупционное законодательство, в частности: руководствоваться требованиями и</w:t>
      </w:r>
      <w:r>
        <w:rPr>
          <w:rFonts w:ascii="Times New Roman" w:hAnsi="Times New Roman" w:cs="Times New Roman"/>
          <w:sz w:val="22"/>
        </w:rPr>
        <w:t xml:space="preserve"> неукоснительно соблюдать принципы антикоррупционной политики Учреждения; воздерживаться от совершения и (или) участия в совершении коррупционных правонарушений, в том числе в интересах или от имени Учреждения; сообщать работодателю о возникновении личной </w:t>
      </w:r>
      <w:r>
        <w:rPr>
          <w:rFonts w:ascii="Times New Roman" w:hAnsi="Times New Roman" w:cs="Times New Roman"/>
          <w:sz w:val="22"/>
        </w:rPr>
        <w:t>заинтересованности, которая приводит или может привести к конфликту интересов, о фактах обращения в целях склонения к совершению коррупционных правонарушений и т.д.</w:t>
      </w:r>
    </w:p>
  </w:footnote>
  <w:footnote w:id="2">
    <w:p w:rsidR="005F3301" w:rsidRDefault="00225A02">
      <w:pPr>
        <w:pStyle w:val="13"/>
        <w:jc w:val="both"/>
        <w:rPr>
          <w:rFonts w:ascii="Times New Roman" w:hAnsi="Times New Roman" w:cs="Times New Roman"/>
          <w:sz w:val="22"/>
        </w:rPr>
      </w:pPr>
      <w:r>
        <w:rPr>
          <w:rStyle w:val="afb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Наполнение раздела «Противодействие коррупции» осуществляется на основании Приказа Минтру</w:t>
      </w:r>
      <w:r>
        <w:rPr>
          <w:rFonts w:ascii="Times New Roman" w:hAnsi="Times New Roman" w:cs="Times New Roman"/>
          <w:sz w:val="22"/>
        </w:rPr>
        <w:t>да России от 7 октября 2013 N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</w:t>
      </w:r>
      <w:r>
        <w:rPr>
          <w:rFonts w:ascii="Times New Roman" w:hAnsi="Times New Roman" w:cs="Times New Roman"/>
          <w:sz w:val="22"/>
        </w:rPr>
        <w:t>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  <w:proofErr w:type="gramEnd"/>
      <w:r>
        <w:rPr>
          <w:rFonts w:ascii="Times New Roman" w:hAnsi="Times New Roman" w:cs="Times New Roman"/>
          <w:sz w:val="22"/>
        </w:rPr>
        <w:t xml:space="preserve">, и </w:t>
      </w:r>
      <w:proofErr w:type="gramStart"/>
      <w:r>
        <w:rPr>
          <w:rFonts w:ascii="Times New Roman" w:hAnsi="Times New Roman" w:cs="Times New Roman"/>
          <w:sz w:val="22"/>
        </w:rPr>
        <w:t>требованиях</w:t>
      </w:r>
      <w:proofErr w:type="gramEnd"/>
      <w:r>
        <w:rPr>
          <w:rFonts w:ascii="Times New Roman" w:hAnsi="Times New Roman" w:cs="Times New Roman"/>
          <w:sz w:val="22"/>
        </w:rPr>
        <w:t xml:space="preserve"> к должностям</w:t>
      </w:r>
      <w:r>
        <w:rPr>
          <w:rFonts w:ascii="Times New Roman" w:hAnsi="Times New Roman" w:cs="Times New Roman"/>
          <w:sz w:val="22"/>
        </w:rPr>
        <w:t>, замещение которых влечет за собой размещение сведений о доходах, расходах, об имуществе и обязательствах имущественного характера».</w:t>
      </w:r>
    </w:p>
  </w:footnote>
  <w:footnote w:id="3">
    <w:p w:rsidR="005F3301" w:rsidRDefault="00225A02">
      <w:pPr>
        <w:pStyle w:val="13"/>
        <w:jc w:val="both"/>
        <w:rPr>
          <w:rFonts w:ascii="Times New Roman" w:hAnsi="Times New Roman" w:cs="Times New Roman"/>
          <w:sz w:val="22"/>
        </w:rPr>
      </w:pPr>
      <w:r>
        <w:rPr>
          <w:rStyle w:val="afb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Размещение информации в новостных лентах сообществ Учреждения в социальных сетях, в том числе публикация памяток, опросо</w:t>
      </w:r>
      <w:r>
        <w:rPr>
          <w:rFonts w:ascii="Times New Roman" w:hAnsi="Times New Roman" w:cs="Times New Roman"/>
          <w:sz w:val="22"/>
        </w:rPr>
        <w:t>в, новостей, информации о телефоне «горячей линии»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DAD"/>
    <w:multiLevelType w:val="hybridMultilevel"/>
    <w:tmpl w:val="007C1178"/>
    <w:lvl w:ilvl="0" w:tplc="83DAC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CA67CE2">
      <w:start w:val="1"/>
      <w:numFmt w:val="decimal"/>
      <w:lvlText w:val=""/>
      <w:lvlJc w:val="left"/>
    </w:lvl>
    <w:lvl w:ilvl="2" w:tplc="7BDE670C">
      <w:start w:val="1"/>
      <w:numFmt w:val="decimal"/>
      <w:lvlText w:val=""/>
      <w:lvlJc w:val="left"/>
    </w:lvl>
    <w:lvl w:ilvl="3" w:tplc="A7723B7E">
      <w:start w:val="1"/>
      <w:numFmt w:val="decimal"/>
      <w:lvlText w:val=""/>
      <w:lvlJc w:val="left"/>
    </w:lvl>
    <w:lvl w:ilvl="4" w:tplc="DB2CC8C8">
      <w:start w:val="1"/>
      <w:numFmt w:val="decimal"/>
      <w:lvlText w:val=""/>
      <w:lvlJc w:val="left"/>
    </w:lvl>
    <w:lvl w:ilvl="5" w:tplc="161A4704">
      <w:start w:val="1"/>
      <w:numFmt w:val="decimal"/>
      <w:lvlText w:val=""/>
      <w:lvlJc w:val="left"/>
    </w:lvl>
    <w:lvl w:ilvl="6" w:tplc="E4F635D0">
      <w:start w:val="1"/>
      <w:numFmt w:val="decimal"/>
      <w:lvlText w:val=""/>
      <w:lvlJc w:val="left"/>
    </w:lvl>
    <w:lvl w:ilvl="7" w:tplc="ED268998">
      <w:start w:val="1"/>
      <w:numFmt w:val="decimal"/>
      <w:lvlText w:val=""/>
      <w:lvlJc w:val="left"/>
    </w:lvl>
    <w:lvl w:ilvl="8" w:tplc="0742D8BE">
      <w:start w:val="1"/>
      <w:numFmt w:val="decimal"/>
      <w:lvlText w:val=""/>
      <w:lvlJc w:val="left"/>
    </w:lvl>
  </w:abstractNum>
  <w:abstractNum w:abstractNumId="1">
    <w:nsid w:val="2142073D"/>
    <w:multiLevelType w:val="hybridMultilevel"/>
    <w:tmpl w:val="D8EC5F7A"/>
    <w:lvl w:ilvl="0" w:tplc="4AA2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87860">
      <w:start w:val="1"/>
      <w:numFmt w:val="decimal"/>
      <w:lvlText w:val=""/>
      <w:lvlJc w:val="left"/>
    </w:lvl>
    <w:lvl w:ilvl="2" w:tplc="5F7EB924">
      <w:start w:val="1"/>
      <w:numFmt w:val="decimal"/>
      <w:lvlText w:val=""/>
      <w:lvlJc w:val="left"/>
    </w:lvl>
    <w:lvl w:ilvl="3" w:tplc="38322A58">
      <w:start w:val="1"/>
      <w:numFmt w:val="decimal"/>
      <w:lvlText w:val=""/>
      <w:lvlJc w:val="left"/>
    </w:lvl>
    <w:lvl w:ilvl="4" w:tplc="E440186A">
      <w:start w:val="1"/>
      <w:numFmt w:val="decimal"/>
      <w:lvlText w:val=""/>
      <w:lvlJc w:val="left"/>
    </w:lvl>
    <w:lvl w:ilvl="5" w:tplc="246CADD6">
      <w:start w:val="1"/>
      <w:numFmt w:val="decimal"/>
      <w:lvlText w:val=""/>
      <w:lvlJc w:val="left"/>
    </w:lvl>
    <w:lvl w:ilvl="6" w:tplc="6A083046">
      <w:start w:val="1"/>
      <w:numFmt w:val="decimal"/>
      <w:lvlText w:val=""/>
      <w:lvlJc w:val="left"/>
    </w:lvl>
    <w:lvl w:ilvl="7" w:tplc="57BC54C6">
      <w:start w:val="1"/>
      <w:numFmt w:val="decimal"/>
      <w:lvlText w:val=""/>
      <w:lvlJc w:val="left"/>
    </w:lvl>
    <w:lvl w:ilvl="8" w:tplc="B650BC94">
      <w:start w:val="1"/>
      <w:numFmt w:val="decimal"/>
      <w:lvlText w:val=""/>
      <w:lvlJc w:val="left"/>
    </w:lvl>
  </w:abstractNum>
  <w:abstractNum w:abstractNumId="2">
    <w:nsid w:val="507B4B99"/>
    <w:multiLevelType w:val="hybridMultilevel"/>
    <w:tmpl w:val="F2C4F5C4"/>
    <w:lvl w:ilvl="0" w:tplc="20221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A6D7E4">
      <w:start w:val="1"/>
      <w:numFmt w:val="decimal"/>
      <w:lvlText w:val=""/>
      <w:lvlJc w:val="left"/>
    </w:lvl>
    <w:lvl w:ilvl="2" w:tplc="EBEA3552">
      <w:start w:val="1"/>
      <w:numFmt w:val="decimal"/>
      <w:lvlText w:val=""/>
      <w:lvlJc w:val="left"/>
    </w:lvl>
    <w:lvl w:ilvl="3" w:tplc="E54C4374">
      <w:start w:val="1"/>
      <w:numFmt w:val="decimal"/>
      <w:lvlText w:val=""/>
      <w:lvlJc w:val="left"/>
    </w:lvl>
    <w:lvl w:ilvl="4" w:tplc="4FC8462E">
      <w:start w:val="1"/>
      <w:numFmt w:val="decimal"/>
      <w:lvlText w:val=""/>
      <w:lvlJc w:val="left"/>
    </w:lvl>
    <w:lvl w:ilvl="5" w:tplc="E724E016">
      <w:start w:val="1"/>
      <w:numFmt w:val="decimal"/>
      <w:lvlText w:val=""/>
      <w:lvlJc w:val="left"/>
    </w:lvl>
    <w:lvl w:ilvl="6" w:tplc="626C66AA">
      <w:start w:val="1"/>
      <w:numFmt w:val="decimal"/>
      <w:lvlText w:val=""/>
      <w:lvlJc w:val="left"/>
    </w:lvl>
    <w:lvl w:ilvl="7" w:tplc="EB165A68">
      <w:start w:val="1"/>
      <w:numFmt w:val="decimal"/>
      <w:lvlText w:val=""/>
      <w:lvlJc w:val="left"/>
    </w:lvl>
    <w:lvl w:ilvl="8" w:tplc="B54469EE">
      <w:start w:val="1"/>
      <w:numFmt w:val="decimal"/>
      <w:lvlText w:val=""/>
      <w:lvlJc w:val="left"/>
    </w:lvl>
  </w:abstractNum>
  <w:abstractNum w:abstractNumId="3">
    <w:nsid w:val="60C3703B"/>
    <w:multiLevelType w:val="hybridMultilevel"/>
    <w:tmpl w:val="AFFE301C"/>
    <w:lvl w:ilvl="0" w:tplc="11FAF21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8"/>
        <w:szCs w:val="28"/>
      </w:rPr>
    </w:lvl>
    <w:lvl w:ilvl="1" w:tplc="F878B9B8">
      <w:start w:val="1"/>
      <w:numFmt w:val="decimal"/>
      <w:lvlText w:val=""/>
      <w:lvlJc w:val="left"/>
    </w:lvl>
    <w:lvl w:ilvl="2" w:tplc="59E2B5C4">
      <w:start w:val="1"/>
      <w:numFmt w:val="decimal"/>
      <w:lvlText w:val=""/>
      <w:lvlJc w:val="left"/>
    </w:lvl>
    <w:lvl w:ilvl="3" w:tplc="BFFCB186">
      <w:start w:val="1"/>
      <w:numFmt w:val="decimal"/>
      <w:lvlText w:val=""/>
      <w:lvlJc w:val="left"/>
    </w:lvl>
    <w:lvl w:ilvl="4" w:tplc="DDF6B836">
      <w:start w:val="1"/>
      <w:numFmt w:val="decimal"/>
      <w:lvlText w:val=""/>
      <w:lvlJc w:val="left"/>
    </w:lvl>
    <w:lvl w:ilvl="5" w:tplc="93A80F5A">
      <w:start w:val="1"/>
      <w:numFmt w:val="decimal"/>
      <w:lvlText w:val=""/>
      <w:lvlJc w:val="left"/>
    </w:lvl>
    <w:lvl w:ilvl="6" w:tplc="66FADDAC">
      <w:start w:val="1"/>
      <w:numFmt w:val="decimal"/>
      <w:lvlText w:val=""/>
      <w:lvlJc w:val="left"/>
    </w:lvl>
    <w:lvl w:ilvl="7" w:tplc="C07E2444">
      <w:start w:val="1"/>
      <w:numFmt w:val="decimal"/>
      <w:lvlText w:val=""/>
      <w:lvlJc w:val="left"/>
    </w:lvl>
    <w:lvl w:ilvl="8" w:tplc="CA4E9864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01"/>
    <w:rsid w:val="00225A02"/>
    <w:rsid w:val="005F3301"/>
    <w:rsid w:val="00A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8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f9"/>
    <w:link w:val="afa"/>
    <w:uiPriority w:val="99"/>
    <w:semiHidden/>
    <w:unhideWhenUsed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13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9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8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f9"/>
    <w:link w:val="afa"/>
    <w:uiPriority w:val="99"/>
    <w:semiHidden/>
    <w:unhideWhenUsed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13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9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3AB-A815-4E23-A932-47DF8ED8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2023-11-27T06:35:00Z</dcterms:created>
  <dcterms:modified xsi:type="dcterms:W3CDTF">2023-11-27T06:35:00Z</dcterms:modified>
</cp:coreProperties>
</file>